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年度中共益阳市委组织部</w:t>
      </w:r>
    </w:p>
    <w:p>
      <w:pPr>
        <w:spacing w:line="560" w:lineRule="exact"/>
        <w:jc w:val="center"/>
        <w:rPr>
          <w:rFonts w:ascii="Times New Roman" w:hAnsi="Times New Roman" w:eastAsia="仿宋"/>
          <w:sz w:val="36"/>
          <w:szCs w:val="36"/>
        </w:rPr>
      </w:pPr>
      <w:r>
        <w:rPr>
          <w:rFonts w:ascii="Times New Roman" w:hAnsi="Times New Roman" w:eastAsia="方正小标宋简体"/>
          <w:sz w:val="44"/>
          <w:szCs w:val="44"/>
        </w:rPr>
        <w:t>业务工作开展专项资金绩效自评报告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为了加强财政资金绩效管理，提高资金使用效益，根据《益阳市财政局关于开展202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年度部门绩效自评工作的通知》文件精神，我部认真组织开展了202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年度业务工作开展专项资金绩效自评工作。现将有关情况报告如下：</w:t>
      </w: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项目概况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根据我部工作职能和职责、按照项目资金的使用内容和用途，业务工作开展专项资金支出主要有：干部工作专项经费、干部监督工作专项经费、干部教育工作专项经费、党建工作专项经费、党员教育专项经费、党支部活动专项经费、党代表联络专项经费、绩效工作专项经费、公务员管理工作专项经费、纪检监察专项经费、综合协调服务专项经费、调研宣传专项经费、工资福利工作专项经费、驻村办工作专项经费、乡村振兴驻村工作队专项经费、乡村振兴专项经费</w:t>
      </w:r>
      <w:r>
        <w:rPr>
          <w:rFonts w:hint="eastAsia" w:ascii="Times New Roman" w:hAnsi="Times New Roman"/>
          <w:szCs w:val="32"/>
          <w:lang w:eastAsia="zh-CN"/>
        </w:rPr>
        <w:t>、人才工作及人才发展服务中心专项经费、“大组工网”风险评估整改工作</w:t>
      </w:r>
      <w:r>
        <w:rPr>
          <w:rFonts w:ascii="Times New Roman" w:hAnsi="Times New Roman"/>
          <w:szCs w:val="32"/>
        </w:rPr>
        <w:t>专项经费。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项目</w:t>
      </w:r>
      <w:r>
        <w:rPr>
          <w:rFonts w:hint="eastAsia" w:ascii="Times New Roman" w:hAnsi="Times New Roman"/>
          <w:szCs w:val="32"/>
          <w:lang w:val="en-US" w:eastAsia="zh-CN"/>
        </w:rPr>
        <w:t>绝大部分</w:t>
      </w:r>
      <w:r>
        <w:rPr>
          <w:rFonts w:ascii="Times New Roman" w:hAnsi="Times New Roman"/>
          <w:szCs w:val="32"/>
        </w:rPr>
        <w:t>为持续性、常年性项目，资金来源为年初财政预算或年中财政预算追加。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二、绩效自评工作开展情况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严格按照《益阳市财政局关于开展202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部门绩效自评工作的通知》文件精神，成立部机关项目绩效评价工作小组，按照规定的方式和内容进行项目支出绩效自评，撰写绩效自评报告。小组成员对项目进行具体情况核实，确保自评结果的真实、有效。各岗室积极配合、协同作战，共同按时完成了自评工作。</w:t>
      </w:r>
    </w:p>
    <w:p>
      <w:pPr>
        <w:pStyle w:val="12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综合评价结论</w:t>
      </w:r>
    </w:p>
    <w:p>
      <w:pPr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年度中共益阳市委组织部业务工作开展专项资金绩效自评得分为</w:t>
      </w:r>
      <w:r>
        <w:rPr>
          <w:rFonts w:hint="eastAsia" w:ascii="Times New Roman" w:hAnsi="Times New Roman"/>
          <w:szCs w:val="32"/>
          <w:lang w:val="en-US" w:eastAsia="zh-CN"/>
        </w:rPr>
        <w:t>97.13</w:t>
      </w:r>
      <w:r>
        <w:rPr>
          <w:rFonts w:ascii="Times New Roman" w:hAnsi="Times New Roman"/>
          <w:szCs w:val="32"/>
        </w:rPr>
        <w:t>分，自评结论为“优秀”。</w:t>
      </w:r>
    </w:p>
    <w:p>
      <w:pPr>
        <w:pStyle w:val="12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绩效目标实现情况分析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（一）</w:t>
      </w:r>
      <w:r>
        <w:rPr>
          <w:rFonts w:ascii="Times New Roman" w:hAnsi="Times New Roman" w:eastAsia="楷体_GB2312"/>
          <w:color w:val="000000"/>
          <w:szCs w:val="32"/>
        </w:rPr>
        <w:t>项目资金使用及管理情况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年度中共益阳市委组织部业务工作开展专项资金实际支出</w:t>
      </w:r>
      <w:r>
        <w:rPr>
          <w:rFonts w:hint="eastAsia" w:ascii="Times New Roman" w:hAnsi="Times New Roman"/>
          <w:szCs w:val="32"/>
          <w:lang w:val="en-US" w:eastAsia="zh-CN"/>
        </w:rPr>
        <w:t>261.46</w:t>
      </w:r>
      <w:r>
        <w:rPr>
          <w:rFonts w:ascii="Times New Roman" w:hAnsi="Times New Roman"/>
          <w:szCs w:val="32"/>
        </w:rPr>
        <w:t>万元，其中：干部工作专项经费支出</w:t>
      </w:r>
      <w:r>
        <w:rPr>
          <w:rFonts w:hint="eastAsia" w:ascii="Times New Roman" w:hAnsi="Times New Roman"/>
          <w:szCs w:val="32"/>
          <w:lang w:val="en-US" w:eastAsia="zh-CN"/>
        </w:rPr>
        <w:t>19.77</w:t>
      </w:r>
      <w:r>
        <w:rPr>
          <w:rFonts w:ascii="Times New Roman" w:hAnsi="Times New Roman"/>
          <w:szCs w:val="32"/>
        </w:rPr>
        <w:t>万元、干部监督工作专项经费支出</w:t>
      </w:r>
      <w:r>
        <w:rPr>
          <w:rFonts w:hint="eastAsia" w:ascii="Times New Roman" w:hAnsi="Times New Roman"/>
          <w:szCs w:val="32"/>
          <w:lang w:val="en-US" w:eastAsia="zh-CN"/>
        </w:rPr>
        <w:t>6.15万元</w:t>
      </w:r>
      <w:r>
        <w:rPr>
          <w:rFonts w:ascii="Times New Roman" w:hAnsi="Times New Roman"/>
          <w:szCs w:val="32"/>
        </w:rPr>
        <w:t>、干部教育工作专项经费支出</w:t>
      </w:r>
      <w:r>
        <w:rPr>
          <w:rFonts w:hint="eastAsia" w:ascii="Times New Roman" w:hAnsi="Times New Roman"/>
          <w:szCs w:val="32"/>
          <w:lang w:val="en-US" w:eastAsia="zh-CN"/>
        </w:rPr>
        <w:t>8.30</w:t>
      </w:r>
      <w:r>
        <w:rPr>
          <w:rFonts w:ascii="Times New Roman" w:hAnsi="Times New Roman"/>
          <w:szCs w:val="32"/>
        </w:rPr>
        <w:t>万元、党建工作专项经费支出</w:t>
      </w:r>
      <w:r>
        <w:rPr>
          <w:rFonts w:hint="eastAsia" w:ascii="Times New Roman" w:hAnsi="Times New Roman"/>
          <w:szCs w:val="32"/>
          <w:lang w:val="en-US" w:eastAsia="zh-CN"/>
        </w:rPr>
        <w:t>16.72</w:t>
      </w:r>
      <w:r>
        <w:rPr>
          <w:rFonts w:ascii="Times New Roman" w:hAnsi="Times New Roman"/>
          <w:szCs w:val="32"/>
        </w:rPr>
        <w:t>万元、党员教育专项经费支出</w:t>
      </w:r>
      <w:r>
        <w:rPr>
          <w:rFonts w:hint="eastAsia" w:ascii="Times New Roman" w:hAnsi="Times New Roman"/>
          <w:szCs w:val="32"/>
          <w:lang w:val="en-US" w:eastAsia="zh-CN"/>
        </w:rPr>
        <w:t>6.26</w:t>
      </w:r>
      <w:r>
        <w:rPr>
          <w:rFonts w:ascii="Times New Roman" w:hAnsi="Times New Roman"/>
          <w:szCs w:val="32"/>
        </w:rPr>
        <w:t>万元、党支部活动专项经费支出2.</w:t>
      </w:r>
      <w:r>
        <w:rPr>
          <w:rFonts w:hint="eastAsia" w:ascii="Times New Roman" w:hAnsi="Times New Roman"/>
          <w:szCs w:val="32"/>
          <w:lang w:val="en-US" w:eastAsia="zh-CN"/>
        </w:rPr>
        <w:t>37</w:t>
      </w:r>
      <w:r>
        <w:rPr>
          <w:rFonts w:ascii="Times New Roman" w:hAnsi="Times New Roman"/>
          <w:szCs w:val="32"/>
        </w:rPr>
        <w:t>万元、党代表联络专项经费支出</w:t>
      </w:r>
      <w:r>
        <w:rPr>
          <w:rFonts w:hint="eastAsia" w:ascii="Times New Roman" w:hAnsi="Times New Roman"/>
          <w:szCs w:val="32"/>
          <w:lang w:val="en-US" w:eastAsia="zh-CN"/>
        </w:rPr>
        <w:t>1.24</w:t>
      </w:r>
      <w:r>
        <w:rPr>
          <w:rFonts w:ascii="Times New Roman" w:hAnsi="Times New Roman"/>
          <w:szCs w:val="32"/>
        </w:rPr>
        <w:t>万元、绩效工作专项经费支出</w:t>
      </w:r>
      <w:r>
        <w:rPr>
          <w:rFonts w:hint="eastAsia" w:ascii="Times New Roman" w:hAnsi="Times New Roman"/>
          <w:szCs w:val="32"/>
          <w:lang w:val="en-US" w:eastAsia="zh-CN"/>
        </w:rPr>
        <w:t>4.79</w:t>
      </w:r>
      <w:r>
        <w:rPr>
          <w:rFonts w:ascii="Times New Roman" w:hAnsi="Times New Roman"/>
          <w:szCs w:val="32"/>
        </w:rPr>
        <w:t>万元、公务员管理工作专项经费</w:t>
      </w:r>
      <w:r>
        <w:rPr>
          <w:rFonts w:hint="eastAsia" w:ascii="Times New Roman" w:hAnsi="Times New Roman"/>
          <w:szCs w:val="32"/>
          <w:lang w:val="en-US" w:eastAsia="zh-CN"/>
        </w:rPr>
        <w:t>支出39.01</w:t>
      </w:r>
      <w:r>
        <w:rPr>
          <w:rFonts w:ascii="Times New Roman" w:hAnsi="Times New Roman"/>
          <w:szCs w:val="32"/>
        </w:rPr>
        <w:t>万元、纪检监察专项经费支出</w:t>
      </w:r>
      <w:r>
        <w:rPr>
          <w:rFonts w:hint="eastAsia" w:ascii="Times New Roman" w:hAnsi="Times New Roman"/>
          <w:szCs w:val="32"/>
          <w:lang w:val="en-US" w:eastAsia="zh-CN"/>
        </w:rPr>
        <w:t>6.81</w:t>
      </w:r>
      <w:r>
        <w:rPr>
          <w:rFonts w:ascii="Times New Roman" w:hAnsi="Times New Roman"/>
          <w:szCs w:val="32"/>
        </w:rPr>
        <w:t>万元、综合协调服务专项经费支出</w:t>
      </w:r>
      <w:r>
        <w:rPr>
          <w:rFonts w:hint="eastAsia" w:ascii="Times New Roman" w:hAnsi="Times New Roman"/>
          <w:szCs w:val="32"/>
          <w:lang w:val="en-US" w:eastAsia="zh-CN"/>
        </w:rPr>
        <w:t>63.42</w:t>
      </w:r>
      <w:r>
        <w:rPr>
          <w:rFonts w:ascii="Times New Roman" w:hAnsi="Times New Roman"/>
          <w:szCs w:val="32"/>
        </w:rPr>
        <w:t>万元、调研宣传专项经费</w:t>
      </w:r>
      <w:r>
        <w:rPr>
          <w:rFonts w:hint="eastAsia" w:ascii="Times New Roman" w:hAnsi="Times New Roman"/>
          <w:szCs w:val="32"/>
          <w:lang w:val="en-US" w:eastAsia="zh-CN"/>
        </w:rPr>
        <w:t>支出1.22</w:t>
      </w:r>
      <w:r>
        <w:rPr>
          <w:rFonts w:ascii="Times New Roman" w:hAnsi="Times New Roman"/>
          <w:szCs w:val="32"/>
        </w:rPr>
        <w:t>万元、工资福利工作专项经费支出</w:t>
      </w:r>
      <w:r>
        <w:rPr>
          <w:rFonts w:hint="eastAsia" w:ascii="Times New Roman" w:hAnsi="Times New Roman"/>
          <w:szCs w:val="32"/>
          <w:lang w:val="en-US" w:eastAsia="zh-CN"/>
        </w:rPr>
        <w:t>2.69</w:t>
      </w:r>
      <w:r>
        <w:rPr>
          <w:rFonts w:ascii="Times New Roman" w:hAnsi="Times New Roman"/>
          <w:szCs w:val="32"/>
        </w:rPr>
        <w:t>万元、驻村办工作专项经费</w:t>
      </w:r>
      <w:r>
        <w:rPr>
          <w:rFonts w:hint="eastAsia" w:ascii="Times New Roman" w:hAnsi="Times New Roman"/>
          <w:szCs w:val="32"/>
          <w:lang w:val="en-US" w:eastAsia="zh-CN"/>
        </w:rPr>
        <w:t>支出52.34</w:t>
      </w:r>
      <w:r>
        <w:rPr>
          <w:rFonts w:ascii="Times New Roman" w:hAnsi="Times New Roman"/>
          <w:szCs w:val="32"/>
        </w:rPr>
        <w:t>万元、乡村振兴驻村工作队专项经费</w:t>
      </w:r>
      <w:r>
        <w:rPr>
          <w:rFonts w:hint="eastAsia" w:ascii="Times New Roman" w:hAnsi="Times New Roman"/>
          <w:szCs w:val="32"/>
          <w:lang w:val="en-US" w:eastAsia="zh-CN"/>
        </w:rPr>
        <w:t>支出4</w:t>
      </w:r>
      <w:r>
        <w:rPr>
          <w:rFonts w:ascii="Times New Roman" w:hAnsi="Times New Roman"/>
          <w:szCs w:val="32"/>
        </w:rPr>
        <w:t>万元、乡村振兴专项经费</w:t>
      </w:r>
      <w:r>
        <w:rPr>
          <w:rFonts w:hint="eastAsia" w:ascii="Times New Roman" w:hAnsi="Times New Roman"/>
          <w:szCs w:val="32"/>
          <w:lang w:val="en-US" w:eastAsia="zh-CN"/>
        </w:rPr>
        <w:t>支出6.68</w:t>
      </w:r>
      <w:r>
        <w:rPr>
          <w:rFonts w:ascii="Times New Roman" w:hAnsi="Times New Roman"/>
          <w:szCs w:val="32"/>
        </w:rPr>
        <w:t>万元</w:t>
      </w:r>
      <w:r>
        <w:rPr>
          <w:rFonts w:hint="eastAsia" w:ascii="Times New Roman" w:hAnsi="Times New Roman"/>
          <w:szCs w:val="32"/>
          <w:lang w:eastAsia="zh-CN"/>
        </w:rPr>
        <w:t>、人才工作及人才发展服务中心专项经费支出</w:t>
      </w:r>
      <w:r>
        <w:rPr>
          <w:rFonts w:hint="eastAsia" w:ascii="Times New Roman" w:hAnsi="Times New Roman"/>
          <w:szCs w:val="32"/>
          <w:lang w:val="en-US" w:eastAsia="zh-CN"/>
        </w:rPr>
        <w:t>4.89万元、</w:t>
      </w:r>
      <w:r>
        <w:rPr>
          <w:rFonts w:hint="eastAsia" w:ascii="Times New Roman" w:hAnsi="Times New Roman"/>
          <w:szCs w:val="32"/>
          <w:lang w:eastAsia="zh-CN"/>
        </w:rPr>
        <w:t>“大组工网”风险评估整改工作</w:t>
      </w:r>
      <w:r>
        <w:rPr>
          <w:rFonts w:ascii="Times New Roman" w:hAnsi="Times New Roman"/>
          <w:szCs w:val="32"/>
        </w:rPr>
        <w:t>专项经费</w:t>
      </w:r>
      <w:r>
        <w:rPr>
          <w:rFonts w:hint="eastAsia" w:ascii="Times New Roman" w:hAnsi="Times New Roman"/>
          <w:szCs w:val="32"/>
          <w:lang w:val="en-US" w:eastAsia="zh-CN"/>
        </w:rPr>
        <w:t>支出14.80万元</w:t>
      </w:r>
      <w:r>
        <w:rPr>
          <w:rFonts w:ascii="Times New Roman" w:hAnsi="Times New Roman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我部严格执行预算管理要求，建立了较为完善的财务管理制度。项目支出过程中，按预算执行项目，不存在无预算支出的现象。</w:t>
      </w:r>
    </w:p>
    <w:p>
      <w:pPr>
        <w:pStyle w:val="7"/>
        <w:spacing w:before="0" w:beforeAutospacing="0" w:after="0" w:afterAutospacing="0" w:line="560" w:lineRule="atLeast"/>
        <w:ind w:left="64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</w:t>
      </w:r>
      <w:r>
        <w:rPr>
          <w:rFonts w:ascii="Times New Roman" w:hAnsi="Times New Roman" w:eastAsia="楷体_GB2312" w:cs="Times New Roman"/>
          <w:color w:val="000000"/>
          <w:kern w:val="2"/>
          <w:sz w:val="32"/>
          <w:szCs w:val="32"/>
        </w:rPr>
        <w:t>总体绩效目标完成情况分析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年度中共益阳市委组织部业务工作开展专项资金上年结转</w:t>
      </w:r>
      <w:r>
        <w:rPr>
          <w:rFonts w:hint="eastAsia" w:ascii="Times New Roman" w:hAnsi="Times New Roman"/>
          <w:szCs w:val="32"/>
          <w:lang w:val="en-US" w:eastAsia="zh-CN"/>
        </w:rPr>
        <w:t>2.65</w:t>
      </w:r>
      <w:r>
        <w:rPr>
          <w:rFonts w:ascii="Times New Roman" w:hAnsi="Times New Roman"/>
          <w:szCs w:val="32"/>
        </w:rPr>
        <w:t>万元，年初预算1</w:t>
      </w:r>
      <w:r>
        <w:rPr>
          <w:rFonts w:hint="eastAsia" w:ascii="Times New Roman" w:hAnsi="Times New Roman"/>
          <w:szCs w:val="32"/>
          <w:lang w:val="en-US" w:eastAsia="zh-CN"/>
        </w:rPr>
        <w:t>5</w:t>
      </w:r>
      <w:r>
        <w:rPr>
          <w:rFonts w:ascii="Times New Roman" w:hAnsi="Times New Roman"/>
          <w:szCs w:val="32"/>
        </w:rPr>
        <w:t>3.03万元，年中追加</w:t>
      </w:r>
      <w:r>
        <w:rPr>
          <w:rFonts w:hint="eastAsia" w:ascii="Times New Roman" w:hAnsi="Times New Roman"/>
          <w:szCs w:val="32"/>
          <w:lang w:val="en-US" w:eastAsia="zh-CN"/>
        </w:rPr>
        <w:t>105.78</w:t>
      </w:r>
      <w:r>
        <w:rPr>
          <w:rFonts w:ascii="Times New Roman" w:hAnsi="Times New Roman"/>
          <w:szCs w:val="32"/>
        </w:rPr>
        <w:t>万元，实际支付项目资金</w:t>
      </w:r>
      <w:r>
        <w:rPr>
          <w:rFonts w:hint="eastAsia" w:ascii="Times New Roman" w:hAnsi="Times New Roman"/>
          <w:szCs w:val="32"/>
          <w:lang w:val="en-US" w:eastAsia="zh-CN"/>
        </w:rPr>
        <w:t>261.46</w:t>
      </w:r>
      <w:r>
        <w:rPr>
          <w:rFonts w:ascii="Times New Roman" w:hAnsi="Times New Roman"/>
          <w:szCs w:val="32"/>
        </w:rPr>
        <w:t>万元，执行率</w:t>
      </w:r>
      <w:r>
        <w:rPr>
          <w:rFonts w:hint="eastAsia" w:ascii="Times New Roman" w:hAnsi="Times New Roman"/>
          <w:szCs w:val="32"/>
          <w:lang w:val="en-US" w:eastAsia="zh-CN"/>
        </w:rPr>
        <w:t>100</w:t>
      </w:r>
      <w:r>
        <w:rPr>
          <w:rFonts w:ascii="Times New Roman" w:hAnsi="Times New Roman"/>
          <w:szCs w:val="32"/>
        </w:rPr>
        <w:t>%。从项目支出情况来看，项目资金均按照项目的使用范围和用途进行支出，绩效目标较好的完成，达到了预期的效果。</w:t>
      </w:r>
    </w:p>
    <w:p>
      <w:pPr>
        <w:pStyle w:val="7"/>
        <w:spacing w:before="0" w:beforeAutospacing="0" w:after="0" w:afterAutospacing="0" w:line="560" w:lineRule="atLeast"/>
        <w:ind w:left="64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color w:val="000000"/>
          <w:kern w:val="2"/>
          <w:sz w:val="32"/>
          <w:szCs w:val="32"/>
        </w:rPr>
        <w:t>绩效指标完成情况分析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1．产出指标完成情况。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数量指标：</w:t>
      </w:r>
      <w:r>
        <w:rPr>
          <w:rFonts w:hint="eastAsia" w:ascii="Times New Roman" w:hAnsi="Times New Roman"/>
          <w:szCs w:val="32"/>
          <w:lang w:eastAsia="zh-CN"/>
        </w:rPr>
        <w:t>根据考录计划，顺利完成公务员考录工作，全市共</w:t>
      </w:r>
      <w:r>
        <w:rPr>
          <w:rFonts w:hint="eastAsia" w:ascii="Times New Roman" w:hAnsi="Times New Roman"/>
          <w:szCs w:val="32"/>
          <w:lang w:val="en-US" w:eastAsia="zh-CN"/>
        </w:rPr>
        <w:t>录用公务员582人（1人怀孕暂缓）</w:t>
      </w:r>
      <w:r>
        <w:rPr>
          <w:rFonts w:hint="eastAsia" w:ascii="Times New Roman" w:hAnsi="Times New Roman"/>
          <w:szCs w:val="32"/>
          <w:lang w:eastAsia="zh-CN"/>
        </w:rPr>
        <w:t>。领导干部个人事项报告应报尽报，报告率为</w:t>
      </w:r>
      <w:r>
        <w:rPr>
          <w:rFonts w:hint="eastAsia" w:ascii="Times New Roman" w:hAnsi="Times New Roman"/>
          <w:szCs w:val="32"/>
          <w:lang w:val="en-US" w:eastAsia="zh-CN"/>
        </w:rPr>
        <w:t>100%。围绕党的二十大精神等重要内容，全体干部集中学习8次；严格落实“三会一课”等基本制度，持续推进“第一议题”制度，开展“新思想　我来讲”微党课宣讲，专题学习习近平总书记重要讲话精神和党的二十大精神22次</w:t>
      </w:r>
      <w:r>
        <w:rPr>
          <w:rFonts w:ascii="Times New Roman" w:hAnsi="Times New Roman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eastAsia="zh-CN"/>
        </w:rPr>
        <w:t>质量指标：公务员考录差错率为</w:t>
      </w:r>
      <w:r>
        <w:rPr>
          <w:rFonts w:hint="eastAsia" w:ascii="Times New Roman" w:hAnsi="Times New Roman"/>
          <w:szCs w:val="32"/>
          <w:lang w:val="en-US" w:eastAsia="zh-CN"/>
        </w:rPr>
        <w:t>0</w:t>
      </w:r>
      <w:r>
        <w:rPr>
          <w:rFonts w:ascii="Times New Roman" w:hAnsi="Times New Roman"/>
          <w:szCs w:val="32"/>
        </w:rPr>
        <w:t>。</w:t>
      </w:r>
    </w:p>
    <w:p>
      <w:pPr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时效</w:t>
      </w:r>
      <w:r>
        <w:rPr>
          <w:rFonts w:ascii="Times New Roman" w:hAnsi="Times New Roman"/>
          <w:szCs w:val="32"/>
        </w:rPr>
        <w:t>指标：202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年度内完成各项工作目标任务</w:t>
      </w:r>
      <w:r>
        <w:rPr>
          <w:rFonts w:hint="eastAsia" w:ascii="Times New Roman" w:hAnsi="Times New Roman"/>
          <w:szCs w:val="32"/>
          <w:lang w:eastAsia="zh-CN"/>
        </w:rPr>
        <w:t>，年底前经费支付完成率为</w:t>
      </w:r>
      <w:r>
        <w:rPr>
          <w:rFonts w:hint="eastAsia" w:ascii="Times New Roman" w:hAnsi="Times New Roman"/>
          <w:szCs w:val="32"/>
          <w:lang w:val="en-US" w:eastAsia="zh-CN"/>
        </w:rPr>
        <w:t>97.13%，主要原因是2022</w:t>
      </w:r>
      <w:r>
        <w:rPr>
          <w:rFonts w:hint="eastAsia" w:ascii="Times New Roman" w:hAnsi="Times New Roman"/>
          <w:szCs w:val="32"/>
          <w:lang w:eastAsia="zh-CN"/>
        </w:rPr>
        <w:t>年底新冠疫情的爆发影响了本</w:t>
      </w:r>
      <w:r>
        <w:rPr>
          <w:rFonts w:hint="eastAsia" w:ascii="Times New Roman" w:hAnsi="Times New Roman"/>
          <w:szCs w:val="32"/>
          <w:lang w:val="en-US" w:eastAsia="zh-CN"/>
        </w:rPr>
        <w:t>年度</w:t>
      </w:r>
      <w:r>
        <w:rPr>
          <w:rFonts w:hint="eastAsia" w:ascii="Times New Roman" w:hAnsi="Times New Roman"/>
          <w:szCs w:val="32"/>
          <w:lang w:eastAsia="zh-CN"/>
        </w:rPr>
        <w:t>公务员考录集中面试经费的及时支付</w:t>
      </w:r>
      <w:r>
        <w:rPr>
          <w:rFonts w:ascii="Times New Roman" w:hAnsi="Times New Roman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eastAsia="zh-CN"/>
        </w:rPr>
        <w:t>成本指标：全市共</w:t>
      </w:r>
      <w:r>
        <w:rPr>
          <w:rFonts w:hint="eastAsia" w:ascii="Times New Roman" w:hAnsi="Times New Roman"/>
          <w:szCs w:val="32"/>
          <w:lang w:val="en-US" w:eastAsia="zh-CN"/>
        </w:rPr>
        <w:t>录用公务员582人，公务员面试招录费用102.18万元，招录公务员成本为1756元/人。</w:t>
      </w:r>
    </w:p>
    <w:p>
      <w:pPr>
        <w:spacing w:line="560" w:lineRule="exact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　　</w:t>
      </w:r>
      <w:r>
        <w:rPr>
          <w:rFonts w:ascii="Times New Roman" w:hAnsi="Times New Roman"/>
          <w:szCs w:val="32"/>
        </w:rPr>
        <w:t>2.效益指标完成情况。</w:t>
      </w:r>
    </w:p>
    <w:p>
      <w:pPr>
        <w:pStyle w:val="14"/>
        <w:overflowPunct w:val="0"/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社会效益指标：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在省委组织部精心指导和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市委坚强领导下，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全市组织部门坚持以习近平新时代中国特色社会主义思想为指导，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深入贯彻落实新时代党的建设总要求和新时代党的组织路线，认真学习宣传贯彻党的二十大精神，围绕中心大局积极担当作为，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全面建设现代化新益阳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提供坚强组织保证</w:t>
      </w:r>
      <w:r>
        <w:rPr>
          <w:rFonts w:ascii="Times New Roman" w:hAnsi="Times New Roman"/>
          <w:szCs w:val="32"/>
        </w:rPr>
        <w:t>。</w:t>
      </w:r>
    </w:p>
    <w:p>
      <w:pPr>
        <w:pStyle w:val="14"/>
        <w:overflowPunct w:val="0"/>
        <w:spacing w:line="600" w:lineRule="exact"/>
        <w:ind w:firstLine="64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可持续影响指标：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坚持强基固本，党组织政治功能和组织功能不断增强。一是全面推进抓党建促乡村振兴。二是全面增强党建引领基层治理效能。全域推进村（居）民代表服务联系群众工作，整合党建引领网格化管理、党群连心“五个到户”等工作机制，建立问题反馈处置、正向激励等6项制度，实行全覆盖分类精准联户，10万余名代表活跃在乡村建设、疫情防控、抗旱救灾、文明实践一线，激活基层治理神经末梢。出台党建引领城市基层治理的若干措施，聚焦“一老一小”服务，做实城市居民小区党建，“爱心食堂”“望窗行动”等党建服务品牌温暖民心。大力推进基层党组织整建提质专项行动，推行整建提质“五个一”、未成年人保护“七个一”措施，以敲门行动、屋场会、微信群议事等方式，组织引领全民参与、群防群治，涉诈案件、吸毒人数和未成年人溺亡数同比下降21.3%、37.6%、57.1%。三是全面提升两新党建“两个覆盖”质效。开展两新党建集中组建攻坚行动，全市非公企业、社会组织党组织覆盖率分别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79.98%、87.19%。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3.满意度指标完成情况。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服务对象满意度指标：群众对单位的满意度为</w:t>
      </w:r>
      <w:r>
        <w:rPr>
          <w:rFonts w:hint="eastAsia" w:ascii="Times New Roman" w:hAnsi="Times New Roman"/>
          <w:szCs w:val="32"/>
          <w:lang w:val="en-US" w:eastAsia="zh-CN"/>
        </w:rPr>
        <w:t xml:space="preserve">99.85 </w:t>
      </w:r>
      <w:r>
        <w:rPr>
          <w:rFonts w:ascii="Times New Roman" w:hAnsi="Times New Roman"/>
          <w:szCs w:val="32"/>
        </w:rPr>
        <w:t>%，达到了预期目标。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五、存在的问题和改进措施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（一）</w:t>
      </w:r>
      <w:r>
        <w:rPr>
          <w:rFonts w:ascii="Times New Roman" w:hAnsi="Times New Roman" w:eastAsia="楷体_GB2312"/>
          <w:color w:val="000000"/>
          <w:szCs w:val="32"/>
        </w:rPr>
        <w:t>存在的问题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通过绩效自评结果对比倒查，发现年初绩效目标设定还是不够科学合理，目标不够</w:t>
      </w:r>
      <w:r>
        <w:rPr>
          <w:rFonts w:hint="eastAsia" w:ascii="Times New Roman" w:hAnsi="Times New Roman"/>
          <w:szCs w:val="32"/>
          <w:lang w:eastAsia="zh-CN"/>
        </w:rPr>
        <w:t>精准</w:t>
      </w:r>
      <w:r>
        <w:rPr>
          <w:rFonts w:ascii="Times New Roman" w:hAnsi="Times New Roman"/>
          <w:szCs w:val="32"/>
        </w:rPr>
        <w:t>、不易于评价。一是有些项目的部分指标难以量化，二是年初绩效目标设定不</w:t>
      </w:r>
      <w:r>
        <w:rPr>
          <w:rFonts w:hint="eastAsia" w:ascii="Times New Roman" w:hAnsi="Times New Roman"/>
          <w:szCs w:val="32"/>
          <w:lang w:eastAsia="zh-CN"/>
        </w:rPr>
        <w:t>详</w:t>
      </w:r>
      <w:r>
        <w:rPr>
          <w:rFonts w:ascii="Times New Roman" w:hAnsi="Times New Roman"/>
          <w:szCs w:val="32"/>
        </w:rPr>
        <w:t>细、不完善。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（二）</w:t>
      </w:r>
      <w:r>
        <w:rPr>
          <w:rFonts w:ascii="Times New Roman" w:hAnsi="Times New Roman" w:eastAsia="楷体_GB2312"/>
          <w:color w:val="000000"/>
          <w:szCs w:val="32"/>
        </w:rPr>
        <w:t>改进措施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加强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对</w:t>
      </w:r>
      <w:r>
        <w:rPr>
          <w:rFonts w:hint="eastAsia" w:ascii="Times New Roman" w:hAnsi="Times New Roman"/>
          <w:color w:val="000000"/>
          <w:szCs w:val="32"/>
        </w:rPr>
        <w:t>业务科室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的</w:t>
      </w:r>
      <w:r>
        <w:rPr>
          <w:rFonts w:hint="eastAsia" w:ascii="Times New Roman" w:hAnsi="Times New Roman"/>
          <w:color w:val="000000"/>
          <w:szCs w:val="32"/>
        </w:rPr>
        <w:t>绩效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管理培训，提高绩效管理意识，进一步细化、量化、优化整体支出和项目支出绩效目标指标及目标值</w:t>
      </w:r>
      <w:r>
        <w:rPr>
          <w:rFonts w:ascii="Times New Roman" w:hAnsi="Times New Roman"/>
          <w:szCs w:val="32"/>
        </w:rPr>
        <w:t>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六、绩效自评结果拟应用和公开情况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绩效自评结果将为下年度预算</w:t>
      </w:r>
      <w:r>
        <w:rPr>
          <w:rFonts w:hint="eastAsia" w:ascii="Times New Roman" w:hAnsi="Times New Roman"/>
          <w:color w:val="000000"/>
          <w:szCs w:val="32"/>
          <w:lang w:eastAsia="zh-CN"/>
        </w:rPr>
        <w:t>编制</w:t>
      </w:r>
      <w:bookmarkStart w:id="0" w:name="_GoBack"/>
      <w:bookmarkEnd w:id="0"/>
      <w:r>
        <w:rPr>
          <w:rFonts w:ascii="Times New Roman" w:hAnsi="Times New Roman"/>
          <w:color w:val="000000"/>
          <w:szCs w:val="32"/>
        </w:rPr>
        <w:t>、预算执行和预算管理提供参照和依据，不断细化绩效评价指标，提高资金使用效益。绩效评价报告及相关表格将按规定在益阳党建网进行公开。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七、其他需要说明的问题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无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附件: </w:t>
      </w:r>
      <w:r>
        <w:rPr>
          <w:rFonts w:hint="eastAsia" w:ascii="Times New Roman" w:hAnsi="Times New Roman"/>
          <w:szCs w:val="32"/>
        </w:rPr>
        <w:t>项目</w:t>
      </w:r>
      <w:r>
        <w:rPr>
          <w:rFonts w:ascii="Times New Roman" w:hAnsi="Times New Roman"/>
          <w:szCs w:val="32"/>
        </w:rPr>
        <w:t>支出绩效</w:t>
      </w:r>
      <w:r>
        <w:rPr>
          <w:rFonts w:hint="eastAsia" w:ascii="Times New Roman" w:hAnsi="Times New Roman"/>
          <w:szCs w:val="32"/>
        </w:rPr>
        <w:t>自</w:t>
      </w:r>
      <w:r>
        <w:rPr>
          <w:rFonts w:ascii="Times New Roman" w:hAnsi="Times New Roman"/>
          <w:szCs w:val="32"/>
        </w:rPr>
        <w:t>评表</w:t>
      </w:r>
    </w:p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黑体"/>
          <w:szCs w:val="32"/>
        </w:rPr>
      </w:pPr>
    </w:p>
    <w:p>
      <w:pPr>
        <w:widowControl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</w:p>
    <w:p>
      <w:pPr>
        <w:widowControl/>
        <w:spacing w:line="40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Style w:val="8"/>
        <w:tblW w:w="97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069"/>
        <w:gridCol w:w="1010"/>
        <w:gridCol w:w="1123"/>
        <w:gridCol w:w="1239"/>
        <w:gridCol w:w="1011"/>
        <w:gridCol w:w="968"/>
        <w:gridCol w:w="864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项目名称</w:t>
            </w:r>
          </w:p>
        </w:tc>
        <w:tc>
          <w:tcPr>
            <w:tcW w:w="86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业务工作开展专项经费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主管部门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中国共产党益阳市委员会组织部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实施单位</w:t>
            </w:r>
          </w:p>
        </w:tc>
        <w:tc>
          <w:tcPr>
            <w:tcW w:w="3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中国共产党益阳市委员会组织部</w:t>
            </w:r>
          </w:p>
        </w:tc>
      </w:tr>
      <w:tr>
        <w:trPr>
          <w:trHeight w:val="534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项目资金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（万元）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年初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全年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全年</w:t>
            </w:r>
          </w:p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执行数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执行率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年度资金总额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155.68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261.46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261.46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0分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100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%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其中：当年财政拨款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3.03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258.81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258.81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 w:firstLineChars="30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上年结转资金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2.65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2.65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2.65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50" w:firstLineChars="300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年度总体目标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预期目标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0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扎实推进党的组织体系建设，着力培养忠诚干净担当的高素质干部，着力集聚爱国奉献的各方面优秀人才，强化政治担当、锐意改革创新、狠抓工作落实，为加快建设富饶创新开放绿色幸福新益阳提供坚强组织保证。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　</w:t>
            </w:r>
          </w:p>
        </w:tc>
        <w:tc>
          <w:tcPr>
            <w:tcW w:w="42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已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完成年度总体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一级指标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二级指标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三级指标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指标值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完成值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得分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(50分)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数量指标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公务员考录人数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根据实际工作需要录用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582人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领导干部个人事项报告率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100%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开展学习及活动次数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≥6次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30次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质量指标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公务员考录差错率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0%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0%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时效指标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经费支付时限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2022年底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202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年年前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完成97.13%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7.13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年底因疫情爆发未及时支付部分公务员面试经费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成本指标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招录公务员成本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≤2000元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1756元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效益指标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0分）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益指标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指标1：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益指标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为全市经济社会发展提供坚强的组织保证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持续保证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持续保证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益指标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可持续影响指标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基层党组织凝聚力不断增强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不断增强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不断增强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服务对象满意度指标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群众对干部的满意度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≥8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%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99.85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%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总分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100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分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7.13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　</w:t>
            </w:r>
          </w:p>
        </w:tc>
      </w:tr>
    </w:tbl>
    <w:p>
      <w:r>
        <w:rPr>
          <w:rFonts w:ascii="Times New Roman" w:hAnsi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朱琳</w:t>
      </w:r>
      <w:r>
        <w:rPr>
          <w:rFonts w:ascii="Times New Roman" w:hAnsi="Times New Roman"/>
          <w:kern w:val="0"/>
          <w:sz w:val="21"/>
          <w:szCs w:val="21"/>
        </w:rPr>
        <w:t xml:space="preserve">   填报日期：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2023年3月13日</w:t>
      </w:r>
      <w:r>
        <w:rPr>
          <w:rFonts w:ascii="Times New Roman" w:hAnsi="Times New Roman"/>
          <w:kern w:val="0"/>
          <w:sz w:val="21"/>
          <w:szCs w:val="21"/>
        </w:rPr>
        <w:t xml:space="preserve"> 联系电话：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4225031</w:t>
      </w:r>
      <w:r>
        <w:rPr>
          <w:rFonts w:ascii="Times New Roman" w:hAnsi="Times New Roman"/>
          <w:kern w:val="0"/>
          <w:sz w:val="21"/>
          <w:szCs w:val="21"/>
        </w:rPr>
        <w:t xml:space="preserve">      单位负责人签字</w:t>
      </w:r>
      <w:r>
        <w:rPr>
          <w:rFonts w:hint="eastAsia" w:ascii="Times New Roman" w:hAnsi="Times New Roman"/>
          <w:kern w:val="0"/>
          <w:sz w:val="21"/>
          <w:szCs w:val="21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E7CCF"/>
    <w:multiLevelType w:val="multilevel"/>
    <w:tmpl w:val="6A4E7CCF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180E9E"/>
    <w:multiLevelType w:val="multilevel"/>
    <w:tmpl w:val="6D180E9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jZTRlMTJjMzgwZTViNDE3NTY0NjY3MDk1OTkyNmIifQ=="/>
  </w:docVars>
  <w:rsids>
    <w:rsidRoot w:val="00116D7E"/>
    <w:rsid w:val="0001366C"/>
    <w:rsid w:val="00037D8F"/>
    <w:rsid w:val="00037F52"/>
    <w:rsid w:val="00053A70"/>
    <w:rsid w:val="00085F0E"/>
    <w:rsid w:val="00094003"/>
    <w:rsid w:val="000A06E4"/>
    <w:rsid w:val="000A23BD"/>
    <w:rsid w:val="000A3A5F"/>
    <w:rsid w:val="000E1827"/>
    <w:rsid w:val="000F3AF9"/>
    <w:rsid w:val="00113A0F"/>
    <w:rsid w:val="00115974"/>
    <w:rsid w:val="00116D7E"/>
    <w:rsid w:val="00136E82"/>
    <w:rsid w:val="00152CED"/>
    <w:rsid w:val="0015486D"/>
    <w:rsid w:val="00156682"/>
    <w:rsid w:val="00167E6F"/>
    <w:rsid w:val="00183CBD"/>
    <w:rsid w:val="001903F9"/>
    <w:rsid w:val="0019656C"/>
    <w:rsid w:val="001A42AF"/>
    <w:rsid w:val="001A6974"/>
    <w:rsid w:val="001A6C0A"/>
    <w:rsid w:val="001B56B8"/>
    <w:rsid w:val="001C28B2"/>
    <w:rsid w:val="001E524C"/>
    <w:rsid w:val="001F320E"/>
    <w:rsid w:val="001F690E"/>
    <w:rsid w:val="00205EC0"/>
    <w:rsid w:val="002063C6"/>
    <w:rsid w:val="00216572"/>
    <w:rsid w:val="00225208"/>
    <w:rsid w:val="00231F59"/>
    <w:rsid w:val="00242A4E"/>
    <w:rsid w:val="00254C8A"/>
    <w:rsid w:val="002739F5"/>
    <w:rsid w:val="00275867"/>
    <w:rsid w:val="00295EA5"/>
    <w:rsid w:val="002A05B1"/>
    <w:rsid w:val="002C3055"/>
    <w:rsid w:val="002E1B4B"/>
    <w:rsid w:val="002F67AF"/>
    <w:rsid w:val="0030701E"/>
    <w:rsid w:val="003459A1"/>
    <w:rsid w:val="003505C9"/>
    <w:rsid w:val="003C11EE"/>
    <w:rsid w:val="003D0D8D"/>
    <w:rsid w:val="003D5DD8"/>
    <w:rsid w:val="003D6B67"/>
    <w:rsid w:val="003F3E8C"/>
    <w:rsid w:val="003F4FA1"/>
    <w:rsid w:val="004002BA"/>
    <w:rsid w:val="0042341D"/>
    <w:rsid w:val="0043644D"/>
    <w:rsid w:val="00463BCB"/>
    <w:rsid w:val="004810FF"/>
    <w:rsid w:val="004859EA"/>
    <w:rsid w:val="00491EEB"/>
    <w:rsid w:val="004A5D9C"/>
    <w:rsid w:val="004B2D51"/>
    <w:rsid w:val="004B65B5"/>
    <w:rsid w:val="004C13E2"/>
    <w:rsid w:val="004D61C6"/>
    <w:rsid w:val="004D6A6E"/>
    <w:rsid w:val="004F5DD9"/>
    <w:rsid w:val="004F6CF3"/>
    <w:rsid w:val="00503739"/>
    <w:rsid w:val="00514D6B"/>
    <w:rsid w:val="005162D6"/>
    <w:rsid w:val="00541F1F"/>
    <w:rsid w:val="0054215E"/>
    <w:rsid w:val="00542D36"/>
    <w:rsid w:val="00562FC9"/>
    <w:rsid w:val="00592274"/>
    <w:rsid w:val="005A71D3"/>
    <w:rsid w:val="005D1737"/>
    <w:rsid w:val="005D5A9F"/>
    <w:rsid w:val="005E599A"/>
    <w:rsid w:val="006055D7"/>
    <w:rsid w:val="00634C7B"/>
    <w:rsid w:val="006436CA"/>
    <w:rsid w:val="006622E2"/>
    <w:rsid w:val="0066612D"/>
    <w:rsid w:val="0067775B"/>
    <w:rsid w:val="006E23E5"/>
    <w:rsid w:val="006F1B46"/>
    <w:rsid w:val="00727925"/>
    <w:rsid w:val="00762431"/>
    <w:rsid w:val="00765FA7"/>
    <w:rsid w:val="007701B6"/>
    <w:rsid w:val="00770ADA"/>
    <w:rsid w:val="007767A0"/>
    <w:rsid w:val="007768A4"/>
    <w:rsid w:val="0078323D"/>
    <w:rsid w:val="00786081"/>
    <w:rsid w:val="00794956"/>
    <w:rsid w:val="00796699"/>
    <w:rsid w:val="007A26AD"/>
    <w:rsid w:val="007D15BF"/>
    <w:rsid w:val="007D4D9D"/>
    <w:rsid w:val="007F3250"/>
    <w:rsid w:val="007F5FE6"/>
    <w:rsid w:val="008020A5"/>
    <w:rsid w:val="00804C86"/>
    <w:rsid w:val="008136AF"/>
    <w:rsid w:val="008137CD"/>
    <w:rsid w:val="008214F7"/>
    <w:rsid w:val="0082771A"/>
    <w:rsid w:val="00836ADB"/>
    <w:rsid w:val="00841483"/>
    <w:rsid w:val="00844F1C"/>
    <w:rsid w:val="00865325"/>
    <w:rsid w:val="008657F5"/>
    <w:rsid w:val="00884B71"/>
    <w:rsid w:val="008855F1"/>
    <w:rsid w:val="008936EC"/>
    <w:rsid w:val="008A21FB"/>
    <w:rsid w:val="008A726A"/>
    <w:rsid w:val="008B170D"/>
    <w:rsid w:val="008B4DFB"/>
    <w:rsid w:val="008B546E"/>
    <w:rsid w:val="008C027A"/>
    <w:rsid w:val="008D07CC"/>
    <w:rsid w:val="008E2323"/>
    <w:rsid w:val="008E7C29"/>
    <w:rsid w:val="008F16D1"/>
    <w:rsid w:val="0090190E"/>
    <w:rsid w:val="00905332"/>
    <w:rsid w:val="009179E8"/>
    <w:rsid w:val="00923090"/>
    <w:rsid w:val="00923D97"/>
    <w:rsid w:val="009461C8"/>
    <w:rsid w:val="0097304B"/>
    <w:rsid w:val="00990B14"/>
    <w:rsid w:val="00997756"/>
    <w:rsid w:val="009A07DE"/>
    <w:rsid w:val="009A099C"/>
    <w:rsid w:val="009A2453"/>
    <w:rsid w:val="009A5F02"/>
    <w:rsid w:val="009B0530"/>
    <w:rsid w:val="009B2C81"/>
    <w:rsid w:val="009B476A"/>
    <w:rsid w:val="009C0ED1"/>
    <w:rsid w:val="009C10F1"/>
    <w:rsid w:val="009D2522"/>
    <w:rsid w:val="009E66D3"/>
    <w:rsid w:val="009F4E0A"/>
    <w:rsid w:val="009F7525"/>
    <w:rsid w:val="009F7FC4"/>
    <w:rsid w:val="00A02036"/>
    <w:rsid w:val="00A12B7A"/>
    <w:rsid w:val="00A15C96"/>
    <w:rsid w:val="00A337AD"/>
    <w:rsid w:val="00A40C71"/>
    <w:rsid w:val="00A65E7E"/>
    <w:rsid w:val="00A662D3"/>
    <w:rsid w:val="00A71073"/>
    <w:rsid w:val="00AA54DD"/>
    <w:rsid w:val="00AC04EB"/>
    <w:rsid w:val="00AC3FD5"/>
    <w:rsid w:val="00AD050F"/>
    <w:rsid w:val="00AF265A"/>
    <w:rsid w:val="00B14827"/>
    <w:rsid w:val="00B235D6"/>
    <w:rsid w:val="00B53C1A"/>
    <w:rsid w:val="00B73BFD"/>
    <w:rsid w:val="00B74AA3"/>
    <w:rsid w:val="00B76ABA"/>
    <w:rsid w:val="00B91E43"/>
    <w:rsid w:val="00BC3FB2"/>
    <w:rsid w:val="00BC5EBA"/>
    <w:rsid w:val="00BC6805"/>
    <w:rsid w:val="00BE3A73"/>
    <w:rsid w:val="00BE3D59"/>
    <w:rsid w:val="00C547C4"/>
    <w:rsid w:val="00C660C8"/>
    <w:rsid w:val="00C70F28"/>
    <w:rsid w:val="00C72029"/>
    <w:rsid w:val="00C7374A"/>
    <w:rsid w:val="00C91D74"/>
    <w:rsid w:val="00C9479B"/>
    <w:rsid w:val="00CA3107"/>
    <w:rsid w:val="00CA3ED2"/>
    <w:rsid w:val="00CB0CEF"/>
    <w:rsid w:val="00CB49EA"/>
    <w:rsid w:val="00CB5807"/>
    <w:rsid w:val="00CE1432"/>
    <w:rsid w:val="00CF01A1"/>
    <w:rsid w:val="00CF058C"/>
    <w:rsid w:val="00D2419F"/>
    <w:rsid w:val="00D32511"/>
    <w:rsid w:val="00D43031"/>
    <w:rsid w:val="00D52EFE"/>
    <w:rsid w:val="00D56778"/>
    <w:rsid w:val="00D60F4F"/>
    <w:rsid w:val="00DB6110"/>
    <w:rsid w:val="00DC2737"/>
    <w:rsid w:val="00DD1A9D"/>
    <w:rsid w:val="00DD2323"/>
    <w:rsid w:val="00DF05B9"/>
    <w:rsid w:val="00DF373C"/>
    <w:rsid w:val="00E026FB"/>
    <w:rsid w:val="00E04E90"/>
    <w:rsid w:val="00E11635"/>
    <w:rsid w:val="00E24E4C"/>
    <w:rsid w:val="00E63111"/>
    <w:rsid w:val="00E67B0A"/>
    <w:rsid w:val="00E719D6"/>
    <w:rsid w:val="00E8122D"/>
    <w:rsid w:val="00E96ABB"/>
    <w:rsid w:val="00EA2464"/>
    <w:rsid w:val="00EB3C4D"/>
    <w:rsid w:val="00EC7BD1"/>
    <w:rsid w:val="00ED1CA7"/>
    <w:rsid w:val="00EE0985"/>
    <w:rsid w:val="00F00BA0"/>
    <w:rsid w:val="00F052DC"/>
    <w:rsid w:val="00F1143D"/>
    <w:rsid w:val="00F12D6E"/>
    <w:rsid w:val="00F20673"/>
    <w:rsid w:val="00F2785F"/>
    <w:rsid w:val="00F377E0"/>
    <w:rsid w:val="00F4458E"/>
    <w:rsid w:val="00F46FDD"/>
    <w:rsid w:val="00F800A4"/>
    <w:rsid w:val="00FA0817"/>
    <w:rsid w:val="00FC0149"/>
    <w:rsid w:val="00FD1776"/>
    <w:rsid w:val="00FF56F6"/>
    <w:rsid w:val="09785372"/>
    <w:rsid w:val="13EF65C4"/>
    <w:rsid w:val="14FD6C55"/>
    <w:rsid w:val="18114634"/>
    <w:rsid w:val="254F0C5F"/>
    <w:rsid w:val="279F7FE8"/>
    <w:rsid w:val="281C7B6F"/>
    <w:rsid w:val="2C9F55D9"/>
    <w:rsid w:val="2D7F1B27"/>
    <w:rsid w:val="3750256A"/>
    <w:rsid w:val="3876433C"/>
    <w:rsid w:val="3892038F"/>
    <w:rsid w:val="3A0D43C8"/>
    <w:rsid w:val="40166791"/>
    <w:rsid w:val="40B56D3C"/>
    <w:rsid w:val="4A133A43"/>
    <w:rsid w:val="4E157A52"/>
    <w:rsid w:val="4F10078B"/>
    <w:rsid w:val="50C12764"/>
    <w:rsid w:val="526C52D2"/>
    <w:rsid w:val="5DFE7B33"/>
    <w:rsid w:val="5EF02DB9"/>
    <w:rsid w:val="62B725E7"/>
    <w:rsid w:val="62D10A2C"/>
    <w:rsid w:val="66BB1AFB"/>
    <w:rsid w:val="66D828DD"/>
    <w:rsid w:val="6BC80633"/>
    <w:rsid w:val="6C4301A4"/>
    <w:rsid w:val="7249263D"/>
    <w:rsid w:val="72F02A5B"/>
    <w:rsid w:val="746162F4"/>
    <w:rsid w:val="791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5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FC15E-B910-4913-820B-A7DD2C3E2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2902</Words>
  <Characters>3181</Characters>
  <Lines>28</Lines>
  <Paragraphs>8</Paragraphs>
  <TotalTime>4</TotalTime>
  <ScaleCrop>false</ScaleCrop>
  <LinksUpToDate>false</LinksUpToDate>
  <CharactersWithSpaces>3240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2021-03-18T02:56:00Z</dcterms:created>
  <dc:creator>Administrator</dc:creator>
  <cp:lastModifiedBy>Administrator</cp:lastModifiedBy>
  <cp:lastPrinted>2023-03-13T03:37:00Z</cp:lastPrinted>
  <dcterms:modified xsi:type="dcterms:W3CDTF">2023-03-17T06:18:15Z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D7850720E139401B9E2CD1AD26532A19</vt:lpwstr>
  </property>
</Properties>
</file>