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年度</w:t>
      </w:r>
      <w:r>
        <w:rPr>
          <w:rFonts w:hint="eastAsia" w:eastAsia="方正小标宋简体"/>
          <w:sz w:val="44"/>
          <w:szCs w:val="44"/>
        </w:rPr>
        <w:t>中</w:t>
      </w:r>
      <w:r>
        <w:rPr>
          <w:rFonts w:eastAsia="方正小标宋简体"/>
          <w:sz w:val="44"/>
          <w:szCs w:val="44"/>
        </w:rPr>
        <w:t>共益阳市委组织部</w:t>
      </w:r>
    </w:p>
    <w:p>
      <w:pPr>
        <w:spacing w:line="7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整体支出绩效自评报告</w:t>
      </w:r>
    </w:p>
    <w:p>
      <w:pPr>
        <w:spacing w:line="560" w:lineRule="exac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为了加强财政资金绩效管理，提高资金使用效益，根据《益阳市财政局关于开展202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年度部门绩效自评工作的通知》文件精神，我部认真组织开展了202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年度部门整体支出绩效自评工作。现将有关情况报告如下：</w:t>
      </w:r>
    </w:p>
    <w:p>
      <w:pPr>
        <w:pStyle w:val="11"/>
        <w:numPr>
          <w:ilvl w:val="0"/>
          <w:numId w:val="1"/>
        </w:numPr>
        <w:ind w:firstLineChars="0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单位基本情况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楷体_GB2312"/>
          <w:color w:val="000000"/>
          <w:szCs w:val="32"/>
        </w:rPr>
      </w:pPr>
      <w:r>
        <w:rPr>
          <w:rFonts w:ascii="Times New Roman" w:hAnsi="Times New Roman" w:eastAsia="楷体_GB2312"/>
          <w:color w:val="000000"/>
          <w:szCs w:val="32"/>
        </w:rPr>
        <w:t>（一）组织机构设置情况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中共益阳市委组织部202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年末人员编制数</w:t>
      </w:r>
      <w:r>
        <w:rPr>
          <w:rFonts w:hint="eastAsia" w:ascii="Times New Roman" w:hAnsi="Times New Roman"/>
          <w:szCs w:val="32"/>
          <w:lang w:val="en-US" w:eastAsia="zh-CN"/>
        </w:rPr>
        <w:t>70</w:t>
      </w:r>
      <w:r>
        <w:rPr>
          <w:rFonts w:ascii="Times New Roman" w:hAnsi="Times New Roman"/>
          <w:szCs w:val="32"/>
        </w:rPr>
        <w:t>名，其中，行政编制6</w:t>
      </w:r>
      <w:r>
        <w:rPr>
          <w:rFonts w:hint="eastAsia" w:ascii="Times New Roman" w:hAnsi="Times New Roman"/>
          <w:szCs w:val="32"/>
          <w:lang w:val="en-US" w:eastAsia="zh-CN"/>
        </w:rPr>
        <w:t>0</w:t>
      </w:r>
      <w:r>
        <w:rPr>
          <w:rFonts w:ascii="Times New Roman" w:hAnsi="Times New Roman"/>
          <w:szCs w:val="32"/>
        </w:rPr>
        <w:t>名（含行政工勤编制2名），参公事业编制4名，事业编制</w:t>
      </w:r>
      <w:r>
        <w:rPr>
          <w:rFonts w:hint="eastAsia" w:ascii="Times New Roman" w:hAnsi="Times New Roman"/>
          <w:szCs w:val="32"/>
          <w:lang w:val="en-US" w:eastAsia="zh-CN"/>
        </w:rPr>
        <w:t>6</w:t>
      </w:r>
      <w:r>
        <w:rPr>
          <w:rFonts w:ascii="Times New Roman" w:hAnsi="Times New Roman"/>
          <w:szCs w:val="32"/>
        </w:rPr>
        <w:t>名；年末在职人员实有人数</w:t>
      </w:r>
      <w:r>
        <w:rPr>
          <w:rFonts w:hint="eastAsia" w:ascii="Times New Roman" w:hAnsi="Times New Roman"/>
          <w:szCs w:val="32"/>
          <w:lang w:val="en-US" w:eastAsia="zh-CN"/>
        </w:rPr>
        <w:t>60</w:t>
      </w:r>
      <w:r>
        <w:rPr>
          <w:rFonts w:ascii="Times New Roman" w:hAnsi="Times New Roman"/>
          <w:szCs w:val="32"/>
        </w:rPr>
        <w:t>人。</w:t>
      </w:r>
    </w:p>
    <w:p>
      <w:pPr>
        <w:snapToGrid w:val="0"/>
        <w:spacing w:line="52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市纪委监委驻部纪检监察组4人相关经费在市委组织部列支。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中共益阳市委组织部202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年末有退休人员10人。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中共益阳市委组织部202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年末车辆编制2辆，实有车辆2辆。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纳入本部门202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年度部门决算编报的单位共1个，市委组织部为党委部门，执行政府会计准则制度，属于一级预算单位。</w:t>
      </w:r>
    </w:p>
    <w:p>
      <w:pPr>
        <w:snapToGrid w:val="0"/>
        <w:spacing w:line="520" w:lineRule="exact"/>
        <w:ind w:firstLine="480" w:firstLineChars="150"/>
        <w:rPr>
          <w:rFonts w:ascii="Times New Roman" w:hAnsi="Times New Roman" w:eastAsia="楷体_GB2312"/>
          <w:color w:val="000000"/>
          <w:szCs w:val="32"/>
        </w:rPr>
      </w:pPr>
      <w:r>
        <w:rPr>
          <w:rFonts w:ascii="Times New Roman" w:hAnsi="黑体" w:eastAsia="黑体"/>
          <w:szCs w:val="32"/>
        </w:rPr>
        <w:t>（二）</w:t>
      </w:r>
      <w:r>
        <w:rPr>
          <w:rFonts w:ascii="Times New Roman" w:hAnsi="Times New Roman" w:eastAsia="楷体_GB2312"/>
          <w:color w:val="000000"/>
          <w:szCs w:val="32"/>
        </w:rPr>
        <w:t>单位的职能职责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1、严格执行党的干部路线、方针、政策，负责全市干部队伍建设的宏观管理，拟订或参与拟订组织、干部、人事工作的政策、规定、制度。负责全市党的建设制度改革工作的规划研究、部署和组织实施。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2、负责干部队伍建设的规划和指导工作。研究拟订加强全市干部队伍建设整体规划和工作措施。负责对市委管理的领导班子进行考察了解，向市委提出调整配备的意见建议；负责办理市委管理干部的考察、任免、工资、待遇、出国（境）、退休审批手续；协同机构编制部门拟订副处级以上领导职数设置方案；负责区县（市）和市直单位科级干部选拔任用备案事项；承办市委委托管理干部的调配、交流及安置；负责援疆（藏）干部、人才工作；负责规划、部署、组织实施年轻干部、妇女干部、少数民族干部、党外干部的培养、选拔、任用工作。指导区县（市）和市直处级单位领导班子政治建设；负责做好中央、省属驻益单位干部双重管理有关工作。负责省、市人大代表和政协委员推荐提名工作。负责市、县法官和检察官单独职务序列等级晋升有关工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3、执行公务员管理政策和法律法规。负责公务员职务与职级并行制度的组织实施。负责公务员和参照公务员法管理单位参公人员的考试录用、考核、奖惩、工资管理、能力建设等工作。指导实施公务员调任、转任、挂职政策；执行公务员职位分类标准和管理办法。负责公务员信息统计管理工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4、负责干部监督工作的宏观指导，负责对党政领导干部选拔任用工作进行监督检查；对反映的有关重要问题进行调查了解和督办。负责其他历史遗留问题的审理工作。组织实施市委选人用人巡察工作，协助做好市委巡察工作。负责领导干部个人有关事项报告、领导干部任期经济责任审计等工作；综合指导全市组织人事部门开展提醒、函询和诫勉工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5、负责全市干部教育培训的宏观管理，制定全市干部教育工作规划，协调、指导、检查各区县（市）及市直有关部门的干部教育培训工作。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6、负责全市干部信息、人事档案、干部统计工作的宏观指导；负责全市组织系统信息网络建设。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7、负责全市人才工作和人才队伍建设的宏观管理和指导；研究拟订人才工作有关政策；协调落实专项重点人才工作；协调实施高层次人才培养工程。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8、研究指导党组织建设工作。制定落实加强党的工作制度、党内生活制度的规定和意见；对各领域党的基层组织建设进行分类指导，对各级各类党组织设立进行指导审核；指导各级党委健全党代表大会制度，指导党代表大会代表选举、管理和联络服务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9、研究指导党员队伍建设工作。主管党员发展和管理工作，指导全市党员教育培训；指导区县（市）和市直正处级及以上单位党员领导干部民主生活会；负责全市党费收缴、管理和使用工作；指导开展党内表彰奖励、关怀帮扶等工作；负责全市党组织和党员队伍信息化建设及党内统计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10、负责全市非公有制经济组织和社会组织党的建设工作。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11、承担市委党建工作领导小组日常工作，综合协调有关部门统筹推进基层党建工作，健全和落实基层党建工作责任制，负责基层党建述职评议；协调有关部门指导发展壮大村级（社区）集体经济。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12、统筹协调全市绩效评估管理工作，拟订绩效评估方案并组织实施，综合掌握工作动态。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13、负责组织工作的综合协调、督促检查和调查研究；指导下级组织部门开展工作，及时向市委和省委组织部报告工作；负责来信来访工作。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14、完成市委交办的其他任务。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二、一般公共预算支出情况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楷体_GB2312"/>
          <w:szCs w:val="32"/>
        </w:rPr>
      </w:pPr>
      <w:r>
        <w:rPr>
          <w:rFonts w:ascii="Times New Roman" w:hAnsi="Times New Roman" w:eastAsia="楷体_GB2312"/>
          <w:szCs w:val="32"/>
        </w:rPr>
        <w:t>（一）基本支出情况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基本支出是指用于保障机构正常运转、完成日常工作任务而发生的各项支出，包括在职和退休人员基本工资、津贴补贴等人员经费以及办公费、</w:t>
      </w:r>
      <w:r>
        <w:rPr>
          <w:rFonts w:hint="eastAsia" w:ascii="Times New Roman" w:hAnsi="Times New Roman"/>
          <w:szCs w:val="32"/>
          <w:lang w:val="en-US" w:eastAsia="zh-CN"/>
        </w:rPr>
        <w:t>印刷费、</w:t>
      </w:r>
      <w:r>
        <w:rPr>
          <w:rFonts w:ascii="Times New Roman" w:hAnsi="Times New Roman"/>
          <w:szCs w:val="32"/>
        </w:rPr>
        <w:t>水电费、</w:t>
      </w:r>
      <w:r>
        <w:rPr>
          <w:rFonts w:hint="eastAsia" w:ascii="Times New Roman" w:hAnsi="Times New Roman"/>
          <w:szCs w:val="32"/>
          <w:lang w:val="en-US" w:eastAsia="zh-CN"/>
        </w:rPr>
        <w:t>邮电费、</w:t>
      </w:r>
      <w:r>
        <w:rPr>
          <w:rFonts w:ascii="Times New Roman" w:hAnsi="Times New Roman"/>
          <w:szCs w:val="32"/>
        </w:rPr>
        <w:t>物业管理费、差旅费、维修（护）费、培训费、劳务费、工会经费、福利费、公务用车运行维护费、其他交通费用、其他商品和服务支出、办公设备购置等日常公用经费。202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年基本支出</w:t>
      </w:r>
      <w:r>
        <w:rPr>
          <w:rFonts w:hint="eastAsia" w:ascii="Times New Roman" w:hAnsi="Times New Roman"/>
          <w:szCs w:val="32"/>
          <w:lang w:val="en-US" w:eastAsia="zh-CN"/>
        </w:rPr>
        <w:t>1434.04</w:t>
      </w:r>
      <w:r>
        <w:rPr>
          <w:rFonts w:ascii="Times New Roman" w:hAnsi="Times New Roman"/>
          <w:szCs w:val="32"/>
        </w:rPr>
        <w:t>万元，较上年</w:t>
      </w:r>
      <w:r>
        <w:rPr>
          <w:rFonts w:hint="eastAsia" w:ascii="Times New Roman" w:hAnsi="Times New Roman"/>
          <w:szCs w:val="32"/>
          <w:lang w:val="en-US" w:eastAsia="zh-CN"/>
        </w:rPr>
        <w:t>同期的1265.74万元</w:t>
      </w:r>
      <w:r>
        <w:rPr>
          <w:rFonts w:ascii="Times New Roman" w:hAnsi="Times New Roman"/>
          <w:szCs w:val="32"/>
        </w:rPr>
        <w:t>增加16</w:t>
      </w:r>
      <w:r>
        <w:rPr>
          <w:rFonts w:hint="eastAsia" w:ascii="Times New Roman" w:hAnsi="Times New Roman"/>
          <w:szCs w:val="32"/>
          <w:lang w:val="en-US" w:eastAsia="zh-CN"/>
        </w:rPr>
        <w:t>8</w:t>
      </w:r>
      <w:r>
        <w:rPr>
          <w:rFonts w:ascii="Times New Roman" w:hAnsi="Times New Roman"/>
          <w:szCs w:val="32"/>
        </w:rPr>
        <w:t>.</w:t>
      </w:r>
      <w:r>
        <w:rPr>
          <w:rFonts w:hint="eastAsia" w:ascii="Times New Roman" w:hAnsi="Times New Roman"/>
          <w:szCs w:val="32"/>
          <w:lang w:val="en-US" w:eastAsia="zh-CN"/>
        </w:rPr>
        <w:t>30</w:t>
      </w:r>
      <w:r>
        <w:rPr>
          <w:rFonts w:ascii="Times New Roman" w:hAnsi="Times New Roman"/>
          <w:szCs w:val="32"/>
        </w:rPr>
        <w:t>万元，增长</w:t>
      </w:r>
      <w:r>
        <w:rPr>
          <w:rFonts w:hint="eastAsia" w:ascii="Times New Roman" w:hAnsi="Times New Roman"/>
          <w:szCs w:val="32"/>
          <w:lang w:val="en-US" w:eastAsia="zh-CN"/>
        </w:rPr>
        <w:t>13.30</w:t>
      </w:r>
      <w:r>
        <w:rPr>
          <w:rFonts w:ascii="Times New Roman" w:hAnsi="Times New Roman"/>
          <w:szCs w:val="32"/>
        </w:rPr>
        <w:t>%。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基本支出中人员经费</w:t>
      </w:r>
      <w:r>
        <w:rPr>
          <w:rFonts w:hint="eastAsia" w:ascii="Times New Roman" w:hAnsi="Times New Roman"/>
          <w:szCs w:val="32"/>
          <w:lang w:val="en-US" w:eastAsia="zh-CN"/>
        </w:rPr>
        <w:t>1242.94</w:t>
      </w:r>
      <w:r>
        <w:rPr>
          <w:rFonts w:ascii="Times New Roman" w:hAnsi="Times New Roman"/>
          <w:szCs w:val="32"/>
        </w:rPr>
        <w:t>万元，占基本支出8</w:t>
      </w:r>
      <w:r>
        <w:rPr>
          <w:rFonts w:hint="eastAsia" w:ascii="Times New Roman" w:hAnsi="Times New Roman"/>
          <w:szCs w:val="32"/>
          <w:lang w:val="en-US" w:eastAsia="zh-CN"/>
        </w:rPr>
        <w:t>6</w:t>
      </w:r>
      <w:r>
        <w:rPr>
          <w:rFonts w:ascii="Times New Roman" w:hAnsi="Times New Roman"/>
          <w:szCs w:val="32"/>
        </w:rPr>
        <w:t>.</w:t>
      </w:r>
      <w:r>
        <w:rPr>
          <w:rFonts w:hint="eastAsia" w:ascii="Times New Roman" w:hAnsi="Times New Roman"/>
          <w:szCs w:val="32"/>
          <w:lang w:val="en-US" w:eastAsia="zh-CN"/>
        </w:rPr>
        <w:t>6</w:t>
      </w:r>
      <w:r>
        <w:rPr>
          <w:rFonts w:ascii="Times New Roman" w:hAnsi="Times New Roman"/>
          <w:szCs w:val="32"/>
        </w:rPr>
        <w:t>7%，较上年</w:t>
      </w:r>
      <w:r>
        <w:rPr>
          <w:rFonts w:hint="eastAsia" w:ascii="Times New Roman" w:hAnsi="Times New Roman"/>
          <w:szCs w:val="32"/>
          <w:lang w:val="en-US" w:eastAsia="zh-CN"/>
        </w:rPr>
        <w:t>同期的1016.06万元</w:t>
      </w:r>
      <w:r>
        <w:rPr>
          <w:rFonts w:ascii="Times New Roman" w:hAnsi="Times New Roman"/>
          <w:szCs w:val="32"/>
        </w:rPr>
        <w:t>增长</w:t>
      </w:r>
      <w:r>
        <w:rPr>
          <w:rFonts w:hint="eastAsia" w:ascii="Times New Roman" w:hAnsi="Times New Roman"/>
          <w:szCs w:val="32"/>
          <w:lang w:val="en-US" w:eastAsia="zh-CN"/>
        </w:rPr>
        <w:t>226.88</w:t>
      </w:r>
      <w:r>
        <w:rPr>
          <w:rFonts w:ascii="Times New Roman" w:hAnsi="Times New Roman"/>
          <w:szCs w:val="32"/>
        </w:rPr>
        <w:t>万元，增长</w:t>
      </w:r>
      <w:r>
        <w:rPr>
          <w:rFonts w:hint="eastAsia" w:ascii="Times New Roman" w:hAnsi="Times New Roman"/>
          <w:szCs w:val="32"/>
          <w:lang w:val="en-US" w:eastAsia="zh-CN"/>
        </w:rPr>
        <w:t>22.33</w:t>
      </w:r>
      <w:r>
        <w:rPr>
          <w:rFonts w:ascii="Times New Roman" w:hAnsi="Times New Roman"/>
          <w:szCs w:val="32"/>
        </w:rPr>
        <w:t>%，主要原因是</w:t>
      </w:r>
      <w:r>
        <w:rPr>
          <w:rFonts w:hint="eastAsia" w:ascii="Times New Roman" w:hAnsi="Times New Roman"/>
          <w:szCs w:val="32"/>
          <w:lang w:val="en-US" w:eastAsia="zh-CN"/>
        </w:rPr>
        <w:t>2022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支付</w:t>
      </w:r>
      <w:r>
        <w:rPr>
          <w:rFonts w:hint="eastAsia" w:eastAsia="仿宋_GB2312"/>
          <w:color w:val="000000"/>
          <w:sz w:val="32"/>
          <w:szCs w:val="32"/>
        </w:rPr>
        <w:t>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本年度和上年度</w:t>
      </w:r>
      <w:r>
        <w:rPr>
          <w:rFonts w:hint="eastAsia" w:eastAsia="仿宋_GB2312"/>
          <w:color w:val="000000"/>
          <w:sz w:val="32"/>
          <w:szCs w:val="32"/>
        </w:rPr>
        <w:t>的人员基础绩效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以及工资普调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支出</w:t>
      </w:r>
      <w:r>
        <w:rPr>
          <w:rFonts w:ascii="Times New Roman" w:hAnsi="Times New Roman"/>
          <w:szCs w:val="32"/>
        </w:rPr>
        <w:t>。公用经费支出</w:t>
      </w:r>
      <w:r>
        <w:rPr>
          <w:rFonts w:hint="eastAsia" w:ascii="Times New Roman" w:hAnsi="Times New Roman"/>
          <w:szCs w:val="32"/>
          <w:lang w:val="en-US" w:eastAsia="zh-CN"/>
        </w:rPr>
        <w:t>191.10</w:t>
      </w:r>
      <w:r>
        <w:rPr>
          <w:rFonts w:ascii="Times New Roman" w:hAnsi="Times New Roman"/>
          <w:szCs w:val="32"/>
        </w:rPr>
        <w:t>万元，占基本支出</w:t>
      </w:r>
      <w:r>
        <w:rPr>
          <w:rFonts w:hint="eastAsia" w:ascii="Times New Roman" w:hAnsi="Times New Roman"/>
          <w:szCs w:val="32"/>
          <w:lang w:val="en-US" w:eastAsia="zh-CN"/>
        </w:rPr>
        <w:t>13.3</w:t>
      </w:r>
      <w:r>
        <w:rPr>
          <w:rFonts w:ascii="Times New Roman" w:hAnsi="Times New Roman"/>
          <w:szCs w:val="32"/>
        </w:rPr>
        <w:t>3%，较上年</w:t>
      </w:r>
      <w:r>
        <w:rPr>
          <w:rFonts w:hint="eastAsia" w:ascii="Times New Roman" w:hAnsi="Times New Roman"/>
          <w:szCs w:val="32"/>
          <w:lang w:val="en-US" w:eastAsia="zh-CN"/>
        </w:rPr>
        <w:t>同期的249.68万元减少58.58</w:t>
      </w:r>
      <w:r>
        <w:rPr>
          <w:rFonts w:ascii="Times New Roman" w:hAnsi="Times New Roman"/>
          <w:szCs w:val="32"/>
        </w:rPr>
        <w:t>万元，</w:t>
      </w:r>
      <w:r>
        <w:rPr>
          <w:rFonts w:hint="eastAsia" w:ascii="Times New Roman" w:hAnsi="Times New Roman"/>
          <w:szCs w:val="32"/>
          <w:lang w:val="en-US" w:eastAsia="zh-CN"/>
        </w:rPr>
        <w:t>下降23.46</w:t>
      </w:r>
      <w:r>
        <w:rPr>
          <w:rFonts w:ascii="Times New Roman" w:hAnsi="Times New Roman"/>
          <w:szCs w:val="32"/>
        </w:rPr>
        <w:t>%，主要原因是</w:t>
      </w:r>
      <w:r>
        <w:rPr>
          <w:rFonts w:hint="eastAsia" w:ascii="Times New Roman" w:hAnsi="Times New Roman"/>
          <w:szCs w:val="32"/>
          <w:lang w:val="en-US" w:eastAsia="zh-CN"/>
        </w:rPr>
        <w:t>2022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比上年度</w:t>
      </w:r>
      <w:r>
        <w:rPr>
          <w:rFonts w:hint="eastAsia" w:eastAsia="仿宋_GB2312"/>
          <w:color w:val="000000"/>
          <w:sz w:val="32"/>
          <w:szCs w:val="32"/>
        </w:rPr>
        <w:t>减少了办公电脑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及打印机的</w:t>
      </w:r>
      <w:r>
        <w:rPr>
          <w:rFonts w:hint="eastAsia" w:eastAsia="仿宋_GB2312"/>
          <w:color w:val="000000"/>
          <w:sz w:val="32"/>
          <w:szCs w:val="32"/>
        </w:rPr>
        <w:t>购置</w:t>
      </w:r>
      <w:r>
        <w:rPr>
          <w:rFonts w:ascii="Times New Roman" w:hAnsi="Times New Roman"/>
          <w:szCs w:val="32"/>
        </w:rPr>
        <w:t>。</w:t>
      </w:r>
    </w:p>
    <w:p>
      <w:pPr>
        <w:widowControl/>
        <w:spacing w:line="600" w:lineRule="exact"/>
        <w:ind w:firstLine="480" w:firstLineChars="150"/>
        <w:rPr>
          <w:rFonts w:ascii="Times New Roman" w:hAnsi="Times New Roman" w:eastAsia="楷体_GB2312"/>
          <w:szCs w:val="32"/>
        </w:rPr>
      </w:pPr>
      <w:r>
        <w:rPr>
          <w:rFonts w:ascii="Times New Roman" w:hAnsi="Times New Roman" w:eastAsia="楷体_GB2312"/>
          <w:szCs w:val="32"/>
        </w:rPr>
        <w:t>（二）项目支出情况</w:t>
      </w:r>
    </w:p>
    <w:p>
      <w:pPr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项目支出是指为完成组工业务相关专项经费，主要用于干部工作、党建工作、公务员考录、干教工作、党代表联络及视察工作、干部监督工作、驻村帮扶工作</w:t>
      </w:r>
      <w:r>
        <w:rPr>
          <w:rFonts w:hint="eastAsia" w:ascii="Times New Roman" w:hAnsi="Times New Roman"/>
          <w:szCs w:val="32"/>
          <w:lang w:eastAsia="zh-CN"/>
        </w:rPr>
        <w:t>、派驻部纪检组工作、市人才发展专项</w:t>
      </w:r>
      <w:r>
        <w:rPr>
          <w:rFonts w:hint="eastAsia" w:ascii="Times New Roman" w:hAnsi="Times New Roman"/>
          <w:szCs w:val="32"/>
          <w:lang w:val="en-US" w:eastAsia="zh-CN"/>
        </w:rPr>
        <w:t>工作、“大组工网”风险评估整改工作</w:t>
      </w:r>
      <w:r>
        <w:rPr>
          <w:rFonts w:ascii="Times New Roman" w:hAnsi="Times New Roman"/>
          <w:szCs w:val="32"/>
        </w:rPr>
        <w:t>等方面。202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年项目支出</w:t>
      </w:r>
      <w:r>
        <w:rPr>
          <w:rFonts w:hint="eastAsia" w:ascii="Times New Roman" w:hAnsi="Times New Roman"/>
          <w:szCs w:val="32"/>
          <w:lang w:val="en-US" w:eastAsia="zh-CN"/>
        </w:rPr>
        <w:t>447.55</w:t>
      </w:r>
      <w:r>
        <w:rPr>
          <w:rFonts w:ascii="Times New Roman" w:hAnsi="Times New Roman"/>
          <w:szCs w:val="32"/>
        </w:rPr>
        <w:t>万元，比上年</w:t>
      </w:r>
      <w:r>
        <w:rPr>
          <w:rFonts w:hint="eastAsia" w:ascii="Times New Roman" w:hAnsi="Times New Roman"/>
          <w:szCs w:val="32"/>
          <w:lang w:val="en-US" w:eastAsia="zh-CN"/>
        </w:rPr>
        <w:t>同期的</w:t>
      </w:r>
      <w:r>
        <w:rPr>
          <w:rFonts w:ascii="Times New Roman" w:hAnsi="Times New Roman"/>
          <w:szCs w:val="32"/>
        </w:rPr>
        <w:t>655.69减少</w:t>
      </w:r>
      <w:r>
        <w:rPr>
          <w:rFonts w:hint="eastAsia" w:ascii="Times New Roman" w:hAnsi="Times New Roman"/>
          <w:szCs w:val="32"/>
          <w:lang w:val="en-US" w:eastAsia="zh-CN"/>
        </w:rPr>
        <w:t>208.14</w:t>
      </w:r>
      <w:r>
        <w:rPr>
          <w:rFonts w:ascii="Times New Roman" w:hAnsi="Times New Roman"/>
          <w:szCs w:val="32"/>
        </w:rPr>
        <w:t>万元，下降</w:t>
      </w:r>
      <w:r>
        <w:rPr>
          <w:rFonts w:hint="eastAsia" w:ascii="Times New Roman" w:hAnsi="Times New Roman"/>
          <w:szCs w:val="32"/>
          <w:lang w:val="en-US" w:eastAsia="zh-CN"/>
        </w:rPr>
        <w:t>31.74</w:t>
      </w:r>
      <w:r>
        <w:rPr>
          <w:rFonts w:ascii="Times New Roman" w:hAnsi="Times New Roman"/>
          <w:szCs w:val="32"/>
        </w:rPr>
        <w:t>%，主要原因</w:t>
      </w:r>
      <w:r>
        <w:rPr>
          <w:rFonts w:hint="eastAsia" w:ascii="Times New Roman" w:hAnsi="Times New Roman"/>
          <w:szCs w:val="32"/>
          <w:lang w:eastAsia="zh-CN"/>
        </w:rPr>
        <w:t>：</w:t>
      </w:r>
      <w:r>
        <w:rPr>
          <w:rFonts w:hint="eastAsia" w:ascii="Times New Roman" w:hAnsi="Times New Roman"/>
          <w:szCs w:val="32"/>
          <w:lang w:val="en-US" w:eastAsia="zh-CN"/>
        </w:rPr>
        <w:t>一</w:t>
      </w:r>
      <w:r>
        <w:rPr>
          <w:rFonts w:ascii="Times New Roman" w:hAnsi="Times New Roman"/>
          <w:szCs w:val="32"/>
        </w:rPr>
        <w:t>是</w:t>
      </w:r>
      <w:r>
        <w:rPr>
          <w:rFonts w:hint="eastAsia" w:ascii="Times New Roman" w:hAnsi="Times New Roman"/>
          <w:szCs w:val="32"/>
          <w:lang w:val="en-US" w:eastAsia="zh-CN"/>
        </w:rPr>
        <w:t>2022年度无上年度的</w:t>
      </w:r>
      <w:r>
        <w:rPr>
          <w:rFonts w:ascii="Times New Roman" w:hAnsi="Times New Roman"/>
          <w:szCs w:val="32"/>
        </w:rPr>
        <w:t>市县乡党组织换届及村级换届工作专项</w:t>
      </w:r>
      <w:r>
        <w:rPr>
          <w:rFonts w:hint="eastAsia" w:ascii="Times New Roman" w:hAnsi="Times New Roman"/>
          <w:szCs w:val="32"/>
          <w:lang w:val="en-US" w:eastAsia="zh-CN"/>
        </w:rPr>
        <w:t>经费支出</w:t>
      </w:r>
      <w:r>
        <w:rPr>
          <w:rFonts w:ascii="Times New Roman" w:hAnsi="Times New Roman"/>
          <w:szCs w:val="32"/>
        </w:rPr>
        <w:t>、换届工作</w:t>
      </w:r>
      <w:r>
        <w:rPr>
          <w:rFonts w:hint="eastAsia" w:ascii="Times New Roman" w:hAnsi="Times New Roman"/>
          <w:szCs w:val="32"/>
          <w:lang w:eastAsia="zh-CN"/>
        </w:rPr>
        <w:t>（含市七次党代会）</w:t>
      </w:r>
      <w:r>
        <w:rPr>
          <w:rFonts w:ascii="Times New Roman" w:hAnsi="Times New Roman"/>
          <w:szCs w:val="32"/>
        </w:rPr>
        <w:t>经费</w:t>
      </w:r>
      <w:r>
        <w:rPr>
          <w:rFonts w:hint="eastAsia" w:ascii="Times New Roman" w:hAnsi="Times New Roman"/>
          <w:szCs w:val="32"/>
          <w:lang w:val="en-US" w:eastAsia="zh-CN"/>
        </w:rPr>
        <w:t>支出</w:t>
      </w:r>
      <w:r>
        <w:rPr>
          <w:rFonts w:ascii="Times New Roman" w:hAnsi="Times New Roman"/>
          <w:szCs w:val="32"/>
        </w:rPr>
        <w:t>、全市“两优一先”表彰大会经费和个人表彰奖励</w:t>
      </w:r>
      <w:r>
        <w:rPr>
          <w:rFonts w:hint="eastAsia" w:ascii="Times New Roman" w:hAnsi="Times New Roman"/>
          <w:szCs w:val="32"/>
          <w:lang w:eastAsia="zh-CN"/>
        </w:rPr>
        <w:t>等</w:t>
      </w:r>
      <w:r>
        <w:rPr>
          <w:rFonts w:ascii="Times New Roman" w:hAnsi="Times New Roman"/>
          <w:szCs w:val="32"/>
        </w:rPr>
        <w:t>项目</w:t>
      </w:r>
      <w:r>
        <w:rPr>
          <w:rFonts w:hint="eastAsia" w:ascii="Times New Roman" w:hAnsi="Times New Roman"/>
          <w:szCs w:val="32"/>
          <w:lang w:val="en-US" w:eastAsia="zh-CN"/>
        </w:rPr>
        <w:t>经费</w:t>
      </w:r>
      <w:r>
        <w:rPr>
          <w:rFonts w:ascii="Times New Roman" w:hAnsi="Times New Roman"/>
          <w:szCs w:val="32"/>
        </w:rPr>
        <w:t>支出</w:t>
      </w:r>
      <w:r>
        <w:rPr>
          <w:rFonts w:hint="eastAsia" w:ascii="Times New Roman" w:hAnsi="Times New Roman"/>
          <w:szCs w:val="32"/>
          <w:lang w:val="en-US" w:eastAsia="zh-CN"/>
        </w:rPr>
        <w:t>；二是2022</w:t>
      </w:r>
      <w:r>
        <w:rPr>
          <w:rFonts w:hint="eastAsia" w:ascii="Times New Roman" w:hAnsi="Times New Roman"/>
          <w:szCs w:val="32"/>
          <w:lang w:eastAsia="zh-CN"/>
        </w:rPr>
        <w:t>年底新冠疫情的爆发影响了本</w:t>
      </w:r>
      <w:r>
        <w:rPr>
          <w:rFonts w:hint="eastAsia" w:ascii="Times New Roman" w:hAnsi="Times New Roman"/>
          <w:szCs w:val="32"/>
          <w:lang w:val="en-US" w:eastAsia="zh-CN"/>
        </w:rPr>
        <w:t>年度</w:t>
      </w:r>
      <w:r>
        <w:rPr>
          <w:rFonts w:hint="eastAsia" w:ascii="Times New Roman" w:hAnsi="Times New Roman"/>
          <w:szCs w:val="32"/>
          <w:lang w:eastAsia="zh-CN"/>
        </w:rPr>
        <w:t>公务员考录集中面试经费的及时支付</w:t>
      </w:r>
      <w:r>
        <w:rPr>
          <w:rFonts w:ascii="Times New Roman" w:hAnsi="Times New Roman"/>
          <w:szCs w:val="32"/>
        </w:rPr>
        <w:t>。</w:t>
      </w:r>
    </w:p>
    <w:p>
      <w:pPr>
        <w:pStyle w:val="11"/>
        <w:widowControl/>
        <w:numPr>
          <w:ilvl w:val="0"/>
          <w:numId w:val="2"/>
        </w:numPr>
        <w:spacing w:line="600" w:lineRule="exact"/>
        <w:ind w:firstLineChars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政府性基金预算支出情况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202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2</w:t>
      </w:r>
      <w:r>
        <w:rPr>
          <w:rFonts w:ascii="Times New Roman" w:hAnsi="Times New Roman"/>
          <w:color w:val="000000"/>
          <w:szCs w:val="32"/>
        </w:rPr>
        <w:t>年无政府性基金预算支出。</w:t>
      </w:r>
    </w:p>
    <w:p>
      <w:pPr>
        <w:pStyle w:val="11"/>
        <w:widowControl/>
        <w:numPr>
          <w:ilvl w:val="0"/>
          <w:numId w:val="2"/>
        </w:numPr>
        <w:spacing w:line="600" w:lineRule="exact"/>
        <w:ind w:firstLineChars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国有资本经营预算支出情况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202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2</w:t>
      </w:r>
      <w:r>
        <w:rPr>
          <w:rFonts w:ascii="Times New Roman" w:hAnsi="Times New Roman"/>
          <w:color w:val="000000"/>
          <w:szCs w:val="32"/>
        </w:rPr>
        <w:t>年无国有资本经营预算支出。</w:t>
      </w:r>
    </w:p>
    <w:p>
      <w:pPr>
        <w:pStyle w:val="11"/>
        <w:widowControl/>
        <w:numPr>
          <w:ilvl w:val="0"/>
          <w:numId w:val="2"/>
        </w:numPr>
        <w:spacing w:line="600" w:lineRule="exact"/>
        <w:ind w:firstLineChars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社会保险基金预算支出情况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202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2</w:t>
      </w:r>
      <w:r>
        <w:rPr>
          <w:rFonts w:ascii="Times New Roman" w:hAnsi="Times New Roman"/>
          <w:color w:val="000000"/>
          <w:szCs w:val="32"/>
        </w:rPr>
        <w:t>年无社会保险基金预算支出。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六、部门整体支出绩效情况</w:t>
      </w:r>
    </w:p>
    <w:p>
      <w:pPr>
        <w:pStyle w:val="6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楷体_GB2312" w:cs="Times New Roman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</w:rPr>
        <w:t>（一）部门整体支出概况</w:t>
      </w:r>
    </w:p>
    <w:p>
      <w:pPr>
        <w:pStyle w:val="6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年部门决算收支完成情况如下：</w:t>
      </w:r>
    </w:p>
    <w:p>
      <w:pPr>
        <w:pStyle w:val="6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1、年初结转和结余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2.65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万元，主要是一般行政管理事务结转和结余。</w:t>
      </w:r>
    </w:p>
    <w:p>
      <w:pPr>
        <w:pStyle w:val="6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2、总收入：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1878.94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万元。其中一般公共预算财政拨款收入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1878.94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万元，为总收入的100%。</w:t>
      </w:r>
    </w:p>
    <w:p>
      <w:pPr>
        <w:pStyle w:val="6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3、总支出：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1881.59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万元，预算执行率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100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%。</w:t>
      </w:r>
    </w:p>
    <w:p>
      <w:pPr>
        <w:pStyle w:val="6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4、本年度年末结转和结余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万元。</w:t>
      </w:r>
    </w:p>
    <w:p>
      <w:pPr>
        <w:pStyle w:val="6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eastAsia="楷体_GB2312" w:cs="Times New Roman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</w:rPr>
        <w:t>（二）整体支出绩效目标</w:t>
      </w:r>
    </w:p>
    <w:p>
      <w:pPr>
        <w:pStyle w:val="6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预决算公开：按照《预算法》和财政部门的相关规定，我部在市财政局网站及益阳党建网进行了预决算公开。</w:t>
      </w:r>
    </w:p>
    <w:p>
      <w:pPr>
        <w:pStyle w:val="6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存量资金管理：盘活财政存量资金，提高资金使用效率，结转资金在一年内使用完毕。</w:t>
      </w:r>
    </w:p>
    <w:p>
      <w:pPr>
        <w:pStyle w:val="6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资产管理：进一步加强资产管理，明确具体责任人，完善固定资产档案，严格报批、销审等手续，做好资产登记统计工作。</w:t>
      </w:r>
    </w:p>
    <w:p>
      <w:pPr>
        <w:pStyle w:val="6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三公经费控制情况：严格控制“三公经费”支出，同时，制定公务派车、差旅费报销、公务接待、工作用餐等规章制度，进一步加强内部管理。“三公”经费支出情况：202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年度决算数为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10.25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万元，与本年预算数一致，比上年度决算数的10.30万元减少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0.05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0.49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%。其中，公务用车购置，本年度决算数为0元，与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本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年预算数一致，上年度决算数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元；公务用车运行维护费，本年度决算数为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8.49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元，与本年预算数一致，比上年度决算数的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7.22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1.27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元，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增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长17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59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 xml:space="preserve"> %；公务接待费，本年度决算数为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1.76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元，与本年预算数一致，比上年度决算数的3.08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元减少1.3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元，下降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42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86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%。公务用车运行维护费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增加的原因是：工作量增大，用车频繁，增加了公车使用成本。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公务接待费减少的原因是：本单位树立过“紧日子”思想，坚持厉行节约，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严格按接待要求及标准执行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。本年度公务用车购置0台，公务用车保有量为2台，本年度无因公出国（境）情况，公务接待批次为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次，公务接待人数为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241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人。</w:t>
      </w:r>
    </w:p>
    <w:p>
      <w:pPr>
        <w:pStyle w:val="6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内部管理制度建设情况：部机关严格执行《机关运行保障手册》，对于公务派车、公车维修、公务接待、工作用餐、差旅费报销、办公用品购置、电脑耗材采买、专项报账等工作流程进行了明确规定。</w:t>
      </w:r>
    </w:p>
    <w:p>
      <w:pPr>
        <w:pStyle w:val="6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可持续发展能力：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全面建设现代化新益阳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提供坚强组织保证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pStyle w:val="6"/>
        <w:spacing w:before="0" w:beforeAutospacing="0" w:after="0" w:afterAutospacing="0" w:line="560" w:lineRule="atLeast"/>
        <w:ind w:firstLine="643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服务对象满意度：群众对单位的满意度为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</w:rPr>
        <w:t>99.85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%，达到了预期目标。</w:t>
      </w:r>
    </w:p>
    <w:p>
      <w:pPr>
        <w:pStyle w:val="6"/>
        <w:spacing w:before="0" w:beforeAutospacing="0" w:after="0" w:afterAutospacing="0" w:line="560" w:lineRule="atLeast"/>
        <w:ind w:firstLine="480" w:firstLineChars="150"/>
        <w:jc w:val="both"/>
        <w:rPr>
          <w:rFonts w:ascii="Times New Roman" w:hAnsi="Times New Roman" w:eastAsia="楷体_GB2312" w:cs="Times New Roman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</w:rPr>
        <w:t>（三）主要绩效及评价结论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在省委组织部精心指导和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市委坚强领导下，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全市组织部门坚持以习近平新时代中国特色社会主义思想为指导，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深入贯彻落实新时代党的建设总要求和新时代党的组织路线，认真学习宣传贯彻党的二十大精神，围绕中心大局积极担当作为，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全面建设现代化新益阳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提供坚强组织保证。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、坚持理论铸魂，党员、干部捍卫“两个确立”、践行“两个维护”更加坚定自觉。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是抓实迎接学习宣传贯彻党的二十大。先后举办2期全市处级以上领导干部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学习贯彻党的十九届六中全会精神专题读书班，督促市直单位和区县（市）实现培训全覆盖。抓好“学习贯彻党的十九届六中全会精神网络专题培训班”，应训率和通过率均达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100%。开设“献礼二十大”之《党旗引领向未来》专栏，持续推出210期各行业各领域的先进典型，为迎接党的二十大胜利召开营造良好氛围。举办省管干部和市管干部学习贯彻党的二十大精神集中轮训研讨班，联合各部门举办各类专业培训班66期、培训1.3万人次，教育引导党员干部在学思践悟中筑牢绝对忠诚思想根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二是规范高效开展党的二十大代表候选人推荐提名工作。严格按照党章规定和中央、省、市要求，突出政治标准和廉洁要求，严格程序、规范操作，圆满完成党的二十大代表候选人推荐提名工作。全市1万多个基层党组织、25万余名党员参与了代表候选人推荐提名工作，党组织和党员参与率、知晓率达100%。有关做法得到央视新闻联播、新华网、《中国组织人事报》等报道推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、坚持选贤任能，干部选育管用更加科学规范。一是强化正向激励。研究出台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《关于大力培养选拔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“闯”“创”“干”干部的若干措施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》，在干部提拔使用和职级晋升上聚焦“三个一线、两个在前”，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以正确用人导向引领干部担当作为。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出台《市管职级干部管理暂行办法》，强化职级干部管理考核和关怀激励。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全面开展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市直行政审批单位科级干部内部轮岗和交流，12个单位的20名中层骨干进行了轮岗交流。二是考准考实干部日常表现。前移“凡提四必”关口，探索建立干部推荐“凡推四必”前置把关机制。构建干部日常了解常态长效机制，严格落实谈心谈话“五个必谈”原则，建立党校主体班派员跟班制度，完善干部动议事项宏观研判机制，全面了解干部工作圈、生活圈、社交圈等情况。发挥组织部门绩效考核牵头抓总作用，建立健全分级分类差异化考核的市考绩效评估体系，强化分析研判和调度指导，建立“周报告、月调度、季通报、年考核”工作机制，着力提升绩效考核工作的科学性精准性。三是以抓好巡视整改为契机规范选人用人工作。坚持以巡促改、未巡先改，组织开展中央、省委巡视选人用人专项检查反馈问题整改“回头看”和干部人事档案专项审核“回头看”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对干部“三龄两历”进行重点核实核查，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制定干部选拔任用工作流程、操作实务、考察工作模板，规范了部分市管干部调整的程序，全面完成消超计划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四是持续加大优秀年轻干部选拔力度。制定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《进一步加强年轻干部培养教育和管理监督工作任务清单》。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分期分批择优选拔34名优秀年轻干部充实进市直单位和区县（市）领导班子，市管领导班子年轻干部配备达到《规划纲要》要求。实施年轻干部赋能行动，选派78名年轻干部到市直机关、乡村振兴一线双向挂职。五是扎实做好代表、委员相关工作。切实做好代表、委员的资源摸底工作，为优中选优打好基础。坚持全过程民主，注重听取各方面意见，突出把好人选政治关、素质关、身份关、结构关、廉洁关，确保了代表委员人选的先进性代表性。六是规范公务员管理工作。稳慎推进参公事业单位重新认定工作，重新认定参公单位199个。出台《关于进一步加强全市应急管理综合行政执法队伍建设的通知》《关于进一步加强全市基层派出所警力保障的通知》《关于进一步加强乡镇（街道）干部队伍建设的通知》，规范编制保障、人员配备、激励约束，乡镇空编率下降至3.6%。做实公务员平时考核，重新确定16个市级联系点，推广“云端”考核，市直公务员实现全员线上考核。认真做好优秀推荐表彰，李狮入选“全国人民满意的公务员”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坚持强基固本，党组织政治功能和组织功能不断增强。一是全面推进抓党建促乡村振兴。建强“主心骨”，除按省定要求派驻工作队外，向683个脱贫人口100人以上的面上村派驻第一书记，鼓励退线、退休干部服务乡村振兴，下派干部841人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加强换届后村“两委”运行情况分析研判，坚持逐村研判、优中选优，调整不胜任现职的村“两委”成员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295名。充实“人才库”，实施“抓党建聚人才促振兴”行动，探索在乡镇设置乡村振兴人才服务站，挖掘乡村工匠等乡土人才，培养农村实用人才1.3万人，定向培养乡村医生、教师1085名；注重把党员培养成产业带头人，把产业带头人培养成党员，党员领办创办致富项目948个，2022年，农村集体经济收入村均达15.2万元，较上年增长17.8%。拧紧“责任阀”，制定重点任务清单，明确市县乡任务93项，实行项目化管理、清单化推进、全过程跟踪问效。建立市县组织部长“谈心谈话日”制度，聚焦乡村振兴开展谈心谈话986人次，推动县乡两级责任上肩。二是全面增强党建引领基层治理效能。全域推进村（居）民代表服务联系群众工作，整合党建引领网格化管理、党群连心“五个到户”等工作机制，建立问题反馈处置、正向激励等6项制度，实行全覆盖分类精准联户，10万余名代表活跃在乡村建设、疫情防控、抗旱救灾、文明实践一线，激活基层治理神经末梢。出台党建引领城市基层治理的若干措施，聚焦“一老一小”服务，做实城市居民小区党建，“爱心食堂”“望窗行动”等党建服务品牌温暖民心。大力推进基层党组织整建提质专项行动，推行整建提质“五个一”、未成年人保护“七个一”措施，以敲门行动、屋场会、微信群议事等方式，组织引领全民参与、群防群治，涉诈案件、吸毒人数和未成年人溺亡数同比下降21.3%、37.6%、57.1%。三是全面提升两新党建“两个覆盖”质效。开展两新党建集中组建攻坚行动，全市非公企业、社会组织党组织覆盖率分别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79.98%、87.19%。探索产业链党建工作，建立茶叶、稻虾、粮食、装备制造、船舶等9个产业链联合（综合）党委。抓实“党建引领 助力千企”三年行动，持续优化“四送”服务，帮助解决企业发展突出问题479个，市县领导和结对帮扶单位现场解决企业难题800多个。开展“党旗领航 百社联村”社会组织党组织助力乡村振兴行动，开展社会化服务280场次，帮助和扶持社会资金、项目资金560余万元。物流快递行业党建工作等得到省委组织部肯定推介，全省非公党建工作现场会在我市召开，新业态新群体党建、楼宇商圈市场党建等“两个覆盖”质效得到提升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、坚持以诚引智，人才支撑发展作用更加凸显。一是强化政策牵引。建立以“十四五”期间人才发展规划为总揽，以战略实施意见为重点，以“人才新政25条”“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产业人才引育留用20条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”为依托，以34项配套措施为支撑的规范有序、系统集成的人才政策体系。深入开展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唯帽子”问题专项整治，优化人才计划管理，整合全市9个人才计划为“益美益阳人才计划”。二是强化平台支撑。协调各方加速打造各类创新平台，新增1个国家级科技企业孵化器，4家省级工程技术研究中心，增量排名全省第3。新建市级专家工作站20家，获评省级专家工作站13家，居全省第一。强化柔性引才，陈学庚等院士专家团队与在益企业签订24个产学研合作项目；发布并签约揭榜挂帅项目3个。全市新引进博士35人、硕士563人，企业管理人才180人、技能人才502人、外国专家21名，推荐2人入选国家重点人才计划。三是强化服务保障。33名市级领导带头联系服务68名专家。启动“金卡”系列服务系统，为81名高层次人才颁发“人才金卡”，实现人才子女入学、健康保健等20余项服务“一卡通办”。协调解决88名人才子女入学问题，统筹建设273套市级人才公寓，让人才在益阳幼有所育、住有所居、需有所应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color w:val="333333"/>
          <w:shd w:val="clear" w:color="auto" w:fill="FFFFFF"/>
        </w:rPr>
        <w:t>根据部门整体支出绩效评价指标确定的内容，经评价组综合评价，中共益阳市委组织部202</w:t>
      </w:r>
      <w:r>
        <w:rPr>
          <w:rFonts w:hint="eastAsia" w:ascii="Times New Roman" w:hAnsi="Times New Roman"/>
          <w:color w:val="333333"/>
          <w:shd w:val="clear" w:color="auto" w:fill="FFFFFF"/>
          <w:lang w:val="en-US" w:eastAsia="zh-CN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年度整体支出绩效</w:t>
      </w:r>
      <w:r>
        <w:rPr>
          <w:rFonts w:ascii="Times New Roman" w:hAnsi="Times New Roman"/>
          <w:szCs w:val="32"/>
        </w:rPr>
        <w:t>自评得分为</w:t>
      </w:r>
      <w:r>
        <w:rPr>
          <w:rFonts w:hint="eastAsia" w:ascii="Times New Roman" w:hAnsi="Times New Roman"/>
          <w:szCs w:val="32"/>
          <w:lang w:val="en-US" w:eastAsia="zh-CN"/>
        </w:rPr>
        <w:t>97.13</w:t>
      </w:r>
      <w:r>
        <w:rPr>
          <w:rFonts w:ascii="Times New Roman" w:hAnsi="Times New Roman"/>
          <w:szCs w:val="32"/>
        </w:rPr>
        <w:t>分，自评结论为“优秀”。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七、存在的问题及原因分析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1、</w:t>
      </w:r>
      <w:r>
        <w:rPr>
          <w:rFonts w:hint="eastAsia" w:ascii="Times New Roman" w:hAnsi="Times New Roman"/>
          <w:color w:val="000000"/>
          <w:szCs w:val="32"/>
        </w:rPr>
        <w:t>预算编制前瞻性不够，预算编制不够科学</w:t>
      </w:r>
      <w:r>
        <w:rPr>
          <w:rFonts w:hint="eastAsia"/>
          <w:color w:val="333333"/>
          <w:shd w:val="clear" w:color="auto" w:fill="FFFFFF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2、</w:t>
      </w:r>
      <w:r>
        <w:rPr>
          <w:rFonts w:hint="eastAsia" w:ascii="Times New Roman" w:hAnsi="Times New Roman"/>
          <w:color w:val="000000"/>
          <w:szCs w:val="32"/>
        </w:rPr>
        <w:t>通过绩效自评结果对比倒查，发现年初绩效目标设定还是不够科学合理，目标不够</w:t>
      </w:r>
      <w:r>
        <w:rPr>
          <w:rFonts w:hint="eastAsia" w:ascii="Times New Roman" w:hAnsi="Times New Roman"/>
          <w:color w:val="000000"/>
          <w:szCs w:val="32"/>
          <w:lang w:eastAsia="zh-CN"/>
        </w:rPr>
        <w:t>精准</w:t>
      </w:r>
      <w:r>
        <w:rPr>
          <w:rFonts w:hint="eastAsia" w:ascii="Times New Roman" w:hAnsi="Times New Roman"/>
          <w:color w:val="000000"/>
          <w:szCs w:val="32"/>
        </w:rPr>
        <w:t>、不易于评价。一是有些项目的部分指标难以量化，二是年初绩效目标设定不</w:t>
      </w:r>
      <w:r>
        <w:rPr>
          <w:rFonts w:hint="eastAsia" w:ascii="Times New Roman" w:hAnsi="Times New Roman"/>
          <w:color w:val="000000"/>
          <w:szCs w:val="32"/>
          <w:lang w:eastAsia="zh-CN"/>
        </w:rPr>
        <w:t>详</w:t>
      </w:r>
      <w:r>
        <w:rPr>
          <w:rFonts w:hint="eastAsia" w:ascii="Times New Roman" w:hAnsi="Times New Roman"/>
          <w:color w:val="000000"/>
          <w:szCs w:val="32"/>
        </w:rPr>
        <w:t>细、不完善。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八、下一步改进措施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1、</w:t>
      </w:r>
      <w:r>
        <w:rPr>
          <w:rFonts w:hint="eastAsia" w:ascii="Times New Roman" w:hAnsi="Times New Roman"/>
          <w:color w:val="000000"/>
          <w:szCs w:val="32"/>
        </w:rPr>
        <w:t>加强预算编制管理，进一步提高预算编制的科学性、合理性、严谨性和可控性</w:t>
      </w:r>
      <w:r>
        <w:rPr>
          <w:rFonts w:ascii="Times New Roman" w:hAnsi="Times New Roman"/>
          <w:color w:val="000000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2、</w:t>
      </w:r>
      <w:r>
        <w:rPr>
          <w:rFonts w:hint="eastAsia" w:ascii="Times New Roman" w:hAnsi="Times New Roman"/>
          <w:color w:val="000000"/>
          <w:szCs w:val="32"/>
        </w:rPr>
        <w:t>加强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对</w:t>
      </w:r>
      <w:r>
        <w:rPr>
          <w:rFonts w:hint="eastAsia" w:ascii="Times New Roman" w:hAnsi="Times New Roman"/>
          <w:color w:val="000000"/>
          <w:szCs w:val="32"/>
        </w:rPr>
        <w:t>业务科室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的</w:t>
      </w:r>
      <w:r>
        <w:rPr>
          <w:rFonts w:hint="eastAsia" w:ascii="Times New Roman" w:hAnsi="Times New Roman"/>
          <w:color w:val="000000"/>
          <w:szCs w:val="32"/>
        </w:rPr>
        <w:t>绩效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管理培训，提高绩效管理意识，进一步细化、量化、优化整体支出和项目支出绩效目标指标及目标值</w:t>
      </w:r>
      <w:r>
        <w:rPr>
          <w:rFonts w:hint="eastAsia" w:ascii="Times New Roman" w:hAnsi="Times New Roman"/>
          <w:color w:val="000000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九、部门整体支出绩效自评结果拟应用和公开情况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绩效自评结果将为下年度预算</w:t>
      </w:r>
      <w:r>
        <w:rPr>
          <w:rFonts w:hint="eastAsia" w:ascii="Times New Roman" w:hAnsi="Times New Roman"/>
          <w:color w:val="000000"/>
          <w:szCs w:val="32"/>
          <w:lang w:eastAsia="zh-CN"/>
        </w:rPr>
        <w:t>编制</w:t>
      </w:r>
      <w:bookmarkStart w:id="0" w:name="_GoBack"/>
      <w:bookmarkEnd w:id="0"/>
      <w:r>
        <w:rPr>
          <w:rFonts w:ascii="Times New Roman" w:hAnsi="Times New Roman"/>
          <w:color w:val="000000"/>
          <w:szCs w:val="32"/>
        </w:rPr>
        <w:t>、预算执行和预算管理提供参照和依据，不断细化绩效评价指标，提高资金使用效益。绩效评价报告及相关表格将按规定在益阳党建网进行公开。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附件: 1、部门整体支出绩效评价基础数据表</w:t>
      </w:r>
    </w:p>
    <w:p>
      <w:pPr>
        <w:widowControl/>
        <w:spacing w:line="600" w:lineRule="exact"/>
        <w:ind w:firstLine="1440" w:firstLineChars="45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2、部门整体支出绩效自评表</w:t>
      </w:r>
    </w:p>
    <w:p>
      <w:pPr>
        <w:rPr>
          <w:rFonts w:ascii="Times New Roman" w:hAnsi="Times New Roman"/>
        </w:rPr>
      </w:pPr>
    </w:p>
    <w:p/>
    <w:p/>
    <w:p/>
    <w:p/>
    <w:p/>
    <w:p/>
    <w:p>
      <w:pPr>
        <w:widowControl/>
        <w:spacing w:line="400" w:lineRule="exact"/>
        <w:jc w:val="left"/>
        <w:rPr>
          <w:rFonts w:ascii="黑体" w:hAnsi="黑体" w:eastAsia="黑体"/>
          <w:szCs w:val="32"/>
        </w:rPr>
      </w:pPr>
    </w:p>
    <w:p>
      <w:pPr>
        <w:widowControl/>
        <w:spacing w:line="400" w:lineRule="exact"/>
        <w:jc w:val="left"/>
        <w:rPr>
          <w:rFonts w:eastAsia="黑体"/>
          <w:szCs w:val="32"/>
        </w:rPr>
      </w:pPr>
    </w:p>
    <w:p>
      <w:pPr>
        <w:widowControl/>
        <w:spacing w:line="4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1</w:t>
      </w:r>
    </w:p>
    <w:p>
      <w:pPr>
        <w:spacing w:line="60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202</w:t>
      </w:r>
      <w:r>
        <w:rPr>
          <w:rFonts w:hint="eastAsia" w:eastAsia="方正小标宋_GBK"/>
          <w:kern w:val="0"/>
          <w:sz w:val="36"/>
          <w:szCs w:val="36"/>
          <w:lang w:val="en-US" w:eastAsia="zh-CN"/>
        </w:rPr>
        <w:t>2</w:t>
      </w:r>
      <w:r>
        <w:rPr>
          <w:rFonts w:eastAsia="方正小标宋_GBK"/>
          <w:kern w:val="0"/>
          <w:sz w:val="36"/>
          <w:szCs w:val="36"/>
        </w:rPr>
        <w:t>年度部门整体支出绩效评价基础数据表</w:t>
      </w:r>
    </w:p>
    <w:tbl>
      <w:tblPr>
        <w:tblStyle w:val="7"/>
        <w:tblW w:w="9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1190"/>
        <w:gridCol w:w="1117"/>
        <w:gridCol w:w="1071"/>
        <w:gridCol w:w="1131"/>
        <w:gridCol w:w="952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财政供养人员情况（人）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86.49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经费控制情况（万元）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支出总额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1921.43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1881.59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1881.59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基本支出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1265.74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1434.04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1434.04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其中：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公用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经费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166.12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180.81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180.81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项目支出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655.69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447.55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447.55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 xml:space="preserve">   其中：1、运行维护经费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22.89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14.24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 xml:space="preserve">        2、业务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工作经费 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632.80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433.31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433.31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……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1050" w:firstLineChars="50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……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10.30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10.25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7.22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8.49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其中：公车购置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公车运行维护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7.22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8.49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2、出国经费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3、公务接待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3.08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1.76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——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楼堂馆所控制情况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（202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批复规模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实际规模（㎡）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3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1、树牢过“紧日子”思想，对预算编制、资产管理、采购管理、报账管理等方面提出更严格的要求。2、建立节约长效机制，制定了《机关运行保障实用手册》，建立健全节约工作责任制，使节约工作走上制度化、规范化的管理轨道。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pacing w:line="300" w:lineRule="exact"/>
        <w:jc w:val="left"/>
        <w:rPr>
          <w:rFonts w:hint="eastAsia"/>
          <w:kern w:val="0"/>
          <w:sz w:val="22"/>
          <w:szCs w:val="24"/>
        </w:rPr>
      </w:pPr>
      <w:r>
        <w:rPr>
          <w:kern w:val="0"/>
          <w:sz w:val="22"/>
          <w:szCs w:val="24"/>
        </w:rPr>
        <w:t>说明：“公用经费”填报基本支出中的一般商品和服务支出。“项目支出”需要填报基本支出以外的所有项目支出情况，</w:t>
      </w:r>
      <w:r>
        <w:rPr>
          <w:rFonts w:hint="eastAsia"/>
          <w:kern w:val="0"/>
          <w:sz w:val="22"/>
          <w:szCs w:val="24"/>
        </w:rPr>
        <w:t>“运行维护经费”填报项目支出中用于人员类和公用运转类的支出。</w:t>
      </w:r>
    </w:p>
    <w:p>
      <w:pPr>
        <w:widowControl/>
        <w:spacing w:line="300" w:lineRule="exact"/>
        <w:jc w:val="left"/>
        <w:rPr>
          <w:kern w:val="0"/>
          <w:sz w:val="22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kern w:val="0"/>
          <w:sz w:val="22"/>
          <w:szCs w:val="24"/>
        </w:rPr>
        <w:t>填表人：</w:t>
      </w:r>
      <w:r>
        <w:rPr>
          <w:rFonts w:hint="eastAsia"/>
          <w:kern w:val="0"/>
          <w:sz w:val="22"/>
          <w:szCs w:val="24"/>
          <w:lang w:val="en-US" w:eastAsia="zh-CN"/>
        </w:rPr>
        <w:t>朱琳</w:t>
      </w:r>
      <w:r>
        <w:rPr>
          <w:kern w:val="0"/>
          <w:sz w:val="22"/>
          <w:szCs w:val="24"/>
        </w:rPr>
        <w:t xml:space="preserve">   填报日期：</w:t>
      </w:r>
      <w:r>
        <w:rPr>
          <w:rFonts w:hint="eastAsia"/>
          <w:kern w:val="0"/>
          <w:sz w:val="22"/>
          <w:szCs w:val="24"/>
          <w:lang w:val="en-US" w:eastAsia="zh-CN"/>
        </w:rPr>
        <w:t>2023年3月13日</w:t>
      </w:r>
      <w:r>
        <w:rPr>
          <w:kern w:val="0"/>
          <w:sz w:val="22"/>
          <w:szCs w:val="24"/>
        </w:rPr>
        <w:t xml:space="preserve">  联系电话：</w:t>
      </w:r>
      <w:r>
        <w:rPr>
          <w:rFonts w:hint="eastAsia"/>
          <w:kern w:val="0"/>
          <w:sz w:val="22"/>
          <w:szCs w:val="24"/>
          <w:lang w:val="en-US" w:eastAsia="zh-CN"/>
        </w:rPr>
        <w:t>4225031</w:t>
      </w:r>
      <w:r>
        <w:rPr>
          <w:kern w:val="0"/>
          <w:sz w:val="22"/>
          <w:szCs w:val="24"/>
        </w:rPr>
        <w:t xml:space="preserve">  单位负责人签字：</w:t>
      </w:r>
      <w:r>
        <w:rPr>
          <w:kern w:val="0"/>
          <w:sz w:val="22"/>
          <w:szCs w:val="24"/>
        </w:rPr>
        <w:br w:type="page"/>
      </w:r>
    </w:p>
    <w:p>
      <w:pPr>
        <w:widowControl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</w:t>
      </w:r>
      <w:r>
        <w:rPr>
          <w:rFonts w:hint="eastAsia" w:ascii="Times New Roman" w:hAnsi="Times New Roman" w:eastAsia="黑体"/>
          <w:szCs w:val="32"/>
        </w:rPr>
        <w:t>2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_GBK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年度部门整体支出绩效自评表</w:t>
      </w:r>
    </w:p>
    <w:tbl>
      <w:tblPr>
        <w:tblStyle w:val="7"/>
        <w:tblW w:w="99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53"/>
        <w:gridCol w:w="1256"/>
        <w:gridCol w:w="428"/>
        <w:gridCol w:w="1009"/>
        <w:gridCol w:w="1134"/>
        <w:gridCol w:w="812"/>
        <w:gridCol w:w="945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预算部门</w:t>
            </w:r>
          </w:p>
        </w:tc>
        <w:tc>
          <w:tcPr>
            <w:tcW w:w="8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国共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党益阳市委员会组织部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年度预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算申请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年初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预算数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全年执行数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分值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执行率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1120.59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1881.59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1881.59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hint="eastAsia" w:ascii="Times New Roman" w:hAnsi="Times New Roman"/>
                <w:sz w:val="18"/>
                <w:szCs w:val="18"/>
              </w:rPr>
              <w:t>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按收入性质分：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其中：  一般公共预算：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1881.59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其中：基本支出：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434.04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720" w:firstLineChars="40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政府性基金拨款：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540" w:firstLineChars="300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项目支出：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447.55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纳入专户管理的非税收入拨款：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260" w:firstLineChars="70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其他资金：</w:t>
            </w:r>
          </w:p>
        </w:tc>
        <w:tc>
          <w:tcPr>
            <w:tcW w:w="41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加强党的科学理论武装，精准开展专业化能力培训，夯实教育培训工作基础。持续落实全面加强基层建设的政策措施，全面推进抓党建促乡村振兴，统筹推进各领域党建工作，强化党建引领基层治理，持续提升党员教育管理质量。切实优化领导班子结构与功能，加强干部系统管理，抓实担当作为激励和保护机制，完善绩效评估工作，坚持从严管理监督干部，加强和改进公务员工作，全方位培养引进用好人才。着力打造模范部门和过硬队伍。</w:t>
            </w:r>
            <w:r>
              <w:rPr>
                <w:rFonts w:ascii="仿宋" w:hAnsi="仿宋" w:eastAsia="仿宋"/>
                <w:sz w:val="18"/>
                <w:szCs w:val="18"/>
              </w:rPr>
              <w:t>　</w:t>
            </w:r>
          </w:p>
        </w:tc>
        <w:tc>
          <w:tcPr>
            <w:tcW w:w="4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已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完成年度总体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偏差原因分析及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干部教育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专题读书班期数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  <w:lang w:val="en-US" w:eastAsia="zh-CN"/>
              </w:rPr>
              <w:t>≥1期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  <w:lang w:val="en-US" w:eastAsia="zh-CN"/>
              </w:rPr>
              <w:t>2期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领导干部个人事项报告应报尽报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=100%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党员教育培训班次数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kern w:val="0"/>
                <w:sz w:val="13"/>
                <w:szCs w:val="13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  <w:lang w:val="en-US" w:eastAsia="zh-CN"/>
              </w:rPr>
              <w:t>≥1次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FF0000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13"/>
                <w:szCs w:val="13"/>
                <w:lang w:val="en-US" w:eastAsia="zh-CN"/>
              </w:rPr>
              <w:t>2次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质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量指标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时效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各项工作经费及时足额拨付率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=100%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  <w:lang w:val="en-US" w:eastAsia="zh-CN"/>
              </w:rPr>
              <w:t>97.13</w:t>
            </w: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3"/>
                <w:szCs w:val="13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  <w:lang w:val="en-US" w:eastAsia="zh-CN"/>
              </w:rPr>
              <w:t>7.13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eastAsia="zh-CN"/>
              </w:rPr>
              <w:t>年底新冠疫情的爆发影响了公务员考录集中面试经费的及时支付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三公经费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控制率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≤100%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经济效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社会效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提升干部素质与能力，保障公务员队伍可持续发展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；提升益阳市党建工作质量和水平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100%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生态效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益指标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为全市经济社会发展提供坚强的组织保证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100%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基层群众对组织工作的满意度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  <w:lang w:val="en-US" w:eastAsia="zh-CN"/>
              </w:rPr>
              <w:t>≥85</w:t>
            </w: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13"/>
                <w:szCs w:val="13"/>
                <w:lang w:val="en-US" w:eastAsia="zh-CN"/>
              </w:rPr>
              <w:t>99.85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13"/>
                <w:szCs w:val="13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97.13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00" w:lineRule="exact"/>
        <w:ind w:left="-148" w:leftChars="-134" w:hanging="281" w:hangingChars="134"/>
        <w:jc w:val="left"/>
      </w:pPr>
      <w:r>
        <w:rPr>
          <w:rFonts w:ascii="Times New Roman" w:hAnsi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朱琳</w:t>
      </w:r>
      <w:r>
        <w:rPr>
          <w:rFonts w:ascii="Times New Roman" w:hAnsi="Times New Roman"/>
          <w:kern w:val="0"/>
          <w:sz w:val="21"/>
          <w:szCs w:val="21"/>
        </w:rPr>
        <w:t xml:space="preserve">     填报日期：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2023年3月13日</w:t>
      </w:r>
      <w:r>
        <w:rPr>
          <w:rFonts w:ascii="Times New Roman" w:hAnsi="Times New Roman"/>
          <w:kern w:val="0"/>
          <w:sz w:val="21"/>
          <w:szCs w:val="21"/>
        </w:rPr>
        <w:t xml:space="preserve">  联系电话：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4225031</w:t>
      </w:r>
      <w:r>
        <w:rPr>
          <w:rFonts w:ascii="Times New Roman" w:hAnsi="Times New Roman"/>
          <w:kern w:val="0"/>
          <w:sz w:val="21"/>
          <w:szCs w:val="21"/>
        </w:rPr>
        <w:t xml:space="preserve">        单位负责人签字：</w:t>
      </w:r>
    </w:p>
    <w:sectPr>
      <w:pgSz w:w="11906" w:h="16838"/>
      <w:pgMar w:top="1134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E7CCF"/>
    <w:multiLevelType w:val="multilevel"/>
    <w:tmpl w:val="6A4E7CCF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D180E9E"/>
    <w:multiLevelType w:val="multilevel"/>
    <w:tmpl w:val="6D180E9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JjZTRlMTJjMzgwZTViNDE3NTY0NjY3MDk1OTkyNmIifQ=="/>
  </w:docVars>
  <w:rsids>
    <w:rsidRoot w:val="00116D7E"/>
    <w:rsid w:val="0001366C"/>
    <w:rsid w:val="00037F52"/>
    <w:rsid w:val="00053A70"/>
    <w:rsid w:val="00085F0E"/>
    <w:rsid w:val="00094003"/>
    <w:rsid w:val="000A06E4"/>
    <w:rsid w:val="000A23BD"/>
    <w:rsid w:val="000A3A5F"/>
    <w:rsid w:val="000E1827"/>
    <w:rsid w:val="000F3AF9"/>
    <w:rsid w:val="00113A0F"/>
    <w:rsid w:val="00115974"/>
    <w:rsid w:val="00116D7E"/>
    <w:rsid w:val="00136E82"/>
    <w:rsid w:val="00152CED"/>
    <w:rsid w:val="0015486D"/>
    <w:rsid w:val="00156682"/>
    <w:rsid w:val="00183CBD"/>
    <w:rsid w:val="001903F9"/>
    <w:rsid w:val="0019656C"/>
    <w:rsid w:val="001A42AF"/>
    <w:rsid w:val="001A6974"/>
    <w:rsid w:val="001A6C0A"/>
    <w:rsid w:val="001C28B2"/>
    <w:rsid w:val="001F320E"/>
    <w:rsid w:val="001F690E"/>
    <w:rsid w:val="00205EC0"/>
    <w:rsid w:val="002063C6"/>
    <w:rsid w:val="00216572"/>
    <w:rsid w:val="00225208"/>
    <w:rsid w:val="00231F59"/>
    <w:rsid w:val="00242A4E"/>
    <w:rsid w:val="002739F5"/>
    <w:rsid w:val="00275867"/>
    <w:rsid w:val="00295EA5"/>
    <w:rsid w:val="002F67AF"/>
    <w:rsid w:val="0030701E"/>
    <w:rsid w:val="003459A1"/>
    <w:rsid w:val="003505C9"/>
    <w:rsid w:val="003C11EE"/>
    <w:rsid w:val="003D0D8D"/>
    <w:rsid w:val="003D6B67"/>
    <w:rsid w:val="003F3E8C"/>
    <w:rsid w:val="003F4FA1"/>
    <w:rsid w:val="004002BA"/>
    <w:rsid w:val="0042341D"/>
    <w:rsid w:val="0043644D"/>
    <w:rsid w:val="00463BCB"/>
    <w:rsid w:val="004810FF"/>
    <w:rsid w:val="004859EA"/>
    <w:rsid w:val="00491EEB"/>
    <w:rsid w:val="004A5D9C"/>
    <w:rsid w:val="004B65B5"/>
    <w:rsid w:val="004C13E2"/>
    <w:rsid w:val="004D61C6"/>
    <w:rsid w:val="004D6A6E"/>
    <w:rsid w:val="004F5DD9"/>
    <w:rsid w:val="004F6CF3"/>
    <w:rsid w:val="00503739"/>
    <w:rsid w:val="00514D6B"/>
    <w:rsid w:val="005162D6"/>
    <w:rsid w:val="00541F1F"/>
    <w:rsid w:val="0054215E"/>
    <w:rsid w:val="00562FC9"/>
    <w:rsid w:val="00592274"/>
    <w:rsid w:val="005A71D3"/>
    <w:rsid w:val="005D1737"/>
    <w:rsid w:val="005D5A9F"/>
    <w:rsid w:val="006055D7"/>
    <w:rsid w:val="00634C7B"/>
    <w:rsid w:val="006436CA"/>
    <w:rsid w:val="006622E2"/>
    <w:rsid w:val="0066612D"/>
    <w:rsid w:val="0067775B"/>
    <w:rsid w:val="006E23E5"/>
    <w:rsid w:val="006F1B46"/>
    <w:rsid w:val="00727925"/>
    <w:rsid w:val="00762431"/>
    <w:rsid w:val="00765FA7"/>
    <w:rsid w:val="007701B6"/>
    <w:rsid w:val="007767A0"/>
    <w:rsid w:val="007768A4"/>
    <w:rsid w:val="0078323D"/>
    <w:rsid w:val="00794956"/>
    <w:rsid w:val="007A26AD"/>
    <w:rsid w:val="007D15BF"/>
    <w:rsid w:val="007D4D9D"/>
    <w:rsid w:val="007F3250"/>
    <w:rsid w:val="00804C86"/>
    <w:rsid w:val="008137CD"/>
    <w:rsid w:val="008214F7"/>
    <w:rsid w:val="0082771A"/>
    <w:rsid w:val="00841483"/>
    <w:rsid w:val="00844F1C"/>
    <w:rsid w:val="00865325"/>
    <w:rsid w:val="008657F5"/>
    <w:rsid w:val="00884B71"/>
    <w:rsid w:val="008855F1"/>
    <w:rsid w:val="008A21FB"/>
    <w:rsid w:val="008A726A"/>
    <w:rsid w:val="008B170D"/>
    <w:rsid w:val="008B4DFB"/>
    <w:rsid w:val="008B546E"/>
    <w:rsid w:val="008C027A"/>
    <w:rsid w:val="008D07CC"/>
    <w:rsid w:val="008E2323"/>
    <w:rsid w:val="008E7C29"/>
    <w:rsid w:val="008F16D1"/>
    <w:rsid w:val="0090190E"/>
    <w:rsid w:val="00905332"/>
    <w:rsid w:val="009179E8"/>
    <w:rsid w:val="00923090"/>
    <w:rsid w:val="00923D97"/>
    <w:rsid w:val="009461C8"/>
    <w:rsid w:val="0097304B"/>
    <w:rsid w:val="00997756"/>
    <w:rsid w:val="009A07DE"/>
    <w:rsid w:val="009A099C"/>
    <w:rsid w:val="009A2453"/>
    <w:rsid w:val="009B0530"/>
    <w:rsid w:val="009B476A"/>
    <w:rsid w:val="009C0ED1"/>
    <w:rsid w:val="009C10F1"/>
    <w:rsid w:val="009D2522"/>
    <w:rsid w:val="009E66D3"/>
    <w:rsid w:val="009F4E0A"/>
    <w:rsid w:val="009F7525"/>
    <w:rsid w:val="009F7FC4"/>
    <w:rsid w:val="00A02036"/>
    <w:rsid w:val="00A12B7A"/>
    <w:rsid w:val="00A40C71"/>
    <w:rsid w:val="00A65E7E"/>
    <w:rsid w:val="00A71073"/>
    <w:rsid w:val="00AA54DD"/>
    <w:rsid w:val="00AC3FD5"/>
    <w:rsid w:val="00AD050F"/>
    <w:rsid w:val="00AF265A"/>
    <w:rsid w:val="00B14827"/>
    <w:rsid w:val="00B235D6"/>
    <w:rsid w:val="00B53C1A"/>
    <w:rsid w:val="00B73BFD"/>
    <w:rsid w:val="00B74AA3"/>
    <w:rsid w:val="00B76ABA"/>
    <w:rsid w:val="00B91E43"/>
    <w:rsid w:val="00BC3FB2"/>
    <w:rsid w:val="00BC6805"/>
    <w:rsid w:val="00BE3D59"/>
    <w:rsid w:val="00C547C4"/>
    <w:rsid w:val="00C660C8"/>
    <w:rsid w:val="00C70F28"/>
    <w:rsid w:val="00C72029"/>
    <w:rsid w:val="00C7374A"/>
    <w:rsid w:val="00C91D74"/>
    <w:rsid w:val="00C9479B"/>
    <w:rsid w:val="00CA3ED2"/>
    <w:rsid w:val="00CB0CEF"/>
    <w:rsid w:val="00CB5807"/>
    <w:rsid w:val="00CF058C"/>
    <w:rsid w:val="00D2419F"/>
    <w:rsid w:val="00D32511"/>
    <w:rsid w:val="00D43031"/>
    <w:rsid w:val="00D52EFE"/>
    <w:rsid w:val="00D56778"/>
    <w:rsid w:val="00D60F4F"/>
    <w:rsid w:val="00DB6110"/>
    <w:rsid w:val="00DD1A9D"/>
    <w:rsid w:val="00DD2323"/>
    <w:rsid w:val="00DF05B9"/>
    <w:rsid w:val="00DF373C"/>
    <w:rsid w:val="00E026FB"/>
    <w:rsid w:val="00E04E90"/>
    <w:rsid w:val="00E11635"/>
    <w:rsid w:val="00E24E4C"/>
    <w:rsid w:val="00E63111"/>
    <w:rsid w:val="00E719D6"/>
    <w:rsid w:val="00E8122D"/>
    <w:rsid w:val="00E96ABB"/>
    <w:rsid w:val="00EA2464"/>
    <w:rsid w:val="00EB3C4D"/>
    <w:rsid w:val="00EC7BD1"/>
    <w:rsid w:val="00ED1CA7"/>
    <w:rsid w:val="00EE0985"/>
    <w:rsid w:val="00F00BA0"/>
    <w:rsid w:val="00F052DC"/>
    <w:rsid w:val="00F1143D"/>
    <w:rsid w:val="00F12D6E"/>
    <w:rsid w:val="00F20673"/>
    <w:rsid w:val="00F2785F"/>
    <w:rsid w:val="00F4458E"/>
    <w:rsid w:val="00F46FDD"/>
    <w:rsid w:val="00FC0149"/>
    <w:rsid w:val="00FD1776"/>
    <w:rsid w:val="00FF56F6"/>
    <w:rsid w:val="01AD0544"/>
    <w:rsid w:val="05C26AA8"/>
    <w:rsid w:val="0BA433ED"/>
    <w:rsid w:val="0C264131"/>
    <w:rsid w:val="0EA277B4"/>
    <w:rsid w:val="183360B6"/>
    <w:rsid w:val="18407BE4"/>
    <w:rsid w:val="1A3C5D88"/>
    <w:rsid w:val="1CBF6A6A"/>
    <w:rsid w:val="1FDC5D87"/>
    <w:rsid w:val="28A70D84"/>
    <w:rsid w:val="29044183"/>
    <w:rsid w:val="29F55CE0"/>
    <w:rsid w:val="30DA4EF5"/>
    <w:rsid w:val="32B828A4"/>
    <w:rsid w:val="32F3654B"/>
    <w:rsid w:val="3B3526C8"/>
    <w:rsid w:val="3D131CC6"/>
    <w:rsid w:val="3D976419"/>
    <w:rsid w:val="3E7A2642"/>
    <w:rsid w:val="3EBD6E89"/>
    <w:rsid w:val="40D06341"/>
    <w:rsid w:val="410A3261"/>
    <w:rsid w:val="41B96BE3"/>
    <w:rsid w:val="44D23F64"/>
    <w:rsid w:val="4BC5037E"/>
    <w:rsid w:val="4E5706B1"/>
    <w:rsid w:val="50E20972"/>
    <w:rsid w:val="524F34ED"/>
    <w:rsid w:val="555D7C51"/>
    <w:rsid w:val="56786C15"/>
    <w:rsid w:val="58933E97"/>
    <w:rsid w:val="59484FC5"/>
    <w:rsid w:val="5FDA624B"/>
    <w:rsid w:val="607B4615"/>
    <w:rsid w:val="61475B62"/>
    <w:rsid w:val="61B64F61"/>
    <w:rsid w:val="6449253C"/>
    <w:rsid w:val="644B69CE"/>
    <w:rsid w:val="6AA61A2B"/>
    <w:rsid w:val="713137EF"/>
    <w:rsid w:val="7DE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_Style 1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8663-EA3B-4C68-A868-F213AB24ED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7868</Words>
  <Characters>8505</Characters>
  <Lines>77</Lines>
  <Paragraphs>21</Paragraphs>
  <TotalTime>5</TotalTime>
  <ScaleCrop>false</ScaleCrop>
  <LinksUpToDate>false</LinksUpToDate>
  <CharactersWithSpaces>8627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2021-03-18T02:56:00Z</dcterms:created>
  <dc:creator>Administrator</dc:creator>
  <cp:lastModifiedBy>Administrator</cp:lastModifiedBy>
  <cp:lastPrinted>2023-03-13T07:10:00Z</cp:lastPrinted>
  <dcterms:modified xsi:type="dcterms:W3CDTF">2023-03-17T06:19:26Z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1D093A08F53944D6B0FBB68B35DC1E63</vt:lpwstr>
  </property>
</Properties>
</file>